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1FB" w:rsidRDefault="000071FB" w:rsidP="000071FB">
      <w:pPr>
        <w:jc w:val="center"/>
        <w:rPr>
          <w:rFonts w:ascii="宋体" w:hAnsi="宋体" w:hint="eastAsia"/>
          <w:b/>
          <w:bCs/>
          <w:sz w:val="32"/>
          <w:szCs w:val="32"/>
        </w:rPr>
      </w:pPr>
      <w:r>
        <w:rPr>
          <w:rFonts w:ascii="宋体" w:hAnsi="宋体" w:hint="eastAsia"/>
          <w:b/>
          <w:bCs/>
          <w:sz w:val="32"/>
          <w:szCs w:val="32"/>
        </w:rPr>
        <w:t>《工业卫生技术》</w:t>
      </w:r>
      <w:r>
        <w:rPr>
          <w:rFonts w:ascii="宋体" w:hAnsi="宋体" w:hint="eastAsia"/>
          <w:b/>
          <w:bCs/>
          <w:sz w:val="32"/>
          <w:szCs w:val="32"/>
        </w:rPr>
        <w:t>(</w:t>
      </w:r>
      <w:r>
        <w:rPr>
          <w:rFonts w:ascii="宋体" w:hAnsi="宋体" w:hint="eastAsia"/>
          <w:b/>
          <w:bCs/>
          <w:sz w:val="32"/>
          <w:szCs w:val="32"/>
        </w:rPr>
        <w:t>补</w:t>
      </w:r>
      <w:r>
        <w:rPr>
          <w:rFonts w:ascii="宋体" w:hAnsi="宋体" w:hint="eastAsia"/>
          <w:b/>
          <w:bCs/>
          <w:sz w:val="32"/>
          <w:szCs w:val="32"/>
        </w:rPr>
        <w:t>)</w:t>
      </w:r>
    </w:p>
    <w:p w:rsidR="00C855BA" w:rsidRDefault="00C855BA" w:rsidP="00C855BA">
      <w:pPr>
        <w:spacing w:line="380" w:lineRule="exact"/>
        <w:rPr>
          <w:b/>
          <w:bCs/>
          <w:szCs w:val="21"/>
        </w:rPr>
      </w:pPr>
      <w:r>
        <w:rPr>
          <w:rFonts w:hAnsi="宋体"/>
          <w:b/>
          <w:bCs/>
          <w:szCs w:val="21"/>
        </w:rPr>
        <w:t>一</w:t>
      </w:r>
      <w:r>
        <w:rPr>
          <w:rFonts w:hAnsi="宋体"/>
          <w:b/>
          <w:bCs/>
          <w:color w:val="000000"/>
          <w:szCs w:val="21"/>
        </w:rPr>
        <w:t>．</w:t>
      </w:r>
      <w:r>
        <w:rPr>
          <w:rFonts w:hAnsi="宋体"/>
          <w:b/>
          <w:bCs/>
          <w:szCs w:val="21"/>
        </w:rPr>
        <w:t>填空题</w:t>
      </w:r>
    </w:p>
    <w:p w:rsidR="000071FB" w:rsidRDefault="00C855BA" w:rsidP="000071FB">
      <w:pPr>
        <w:rPr>
          <w:rFonts w:ascii="宋体" w:hAnsi="宋体" w:hint="eastAsia"/>
          <w:color w:val="FF0000"/>
          <w:szCs w:val="21"/>
          <w:u w:val="single"/>
        </w:rPr>
      </w:pPr>
      <w:r>
        <w:rPr>
          <w:rFonts w:ascii="宋体" w:hAnsi="宋体" w:hint="eastAsia"/>
          <w:sz w:val="32"/>
          <w:szCs w:val="32"/>
        </w:rPr>
        <w:t>1.</w:t>
      </w:r>
      <w:r w:rsidRPr="00C855BA">
        <w:rPr>
          <w:rFonts w:hint="eastAsia"/>
          <w:color w:val="FF0000"/>
          <w:szCs w:val="21"/>
          <w:u w:val="single"/>
        </w:rPr>
        <w:t xml:space="preserve"> </w:t>
      </w:r>
      <w:r>
        <w:rPr>
          <w:rFonts w:hint="eastAsia"/>
          <w:color w:val="FF0000"/>
          <w:szCs w:val="21"/>
          <w:u w:val="single"/>
        </w:rPr>
        <w:t>半数致死剂量</w:t>
      </w:r>
      <w:r>
        <w:rPr>
          <w:rFonts w:hint="eastAsia"/>
          <w:color w:val="FF0000"/>
          <w:szCs w:val="21"/>
        </w:rPr>
        <w:t xml:space="preserve">      2.</w:t>
      </w:r>
      <w:r w:rsidRPr="00C855BA">
        <w:rPr>
          <w:rFonts w:ascii="宋体" w:hAnsi="宋体" w:hint="eastAsia"/>
          <w:color w:val="FF0000"/>
          <w:szCs w:val="21"/>
          <w:u w:val="single"/>
        </w:rPr>
        <w:t xml:space="preserve"> </w:t>
      </w:r>
      <w:r>
        <w:rPr>
          <w:rFonts w:ascii="宋体" w:hAnsi="宋体" w:hint="eastAsia"/>
          <w:color w:val="FF0000"/>
          <w:szCs w:val="21"/>
          <w:u w:val="single"/>
        </w:rPr>
        <w:t>橄榄油</w:t>
      </w:r>
      <w:r>
        <w:rPr>
          <w:szCs w:val="21"/>
          <w:u w:val="single"/>
        </w:rPr>
        <w:t xml:space="preserve">  </w:t>
      </w:r>
      <w:r>
        <w:rPr>
          <w:rFonts w:ascii="宋体" w:hAnsi="宋体" w:hint="eastAsia"/>
          <w:szCs w:val="21"/>
        </w:rPr>
        <w:t>，</w:t>
      </w:r>
      <w:r>
        <w:rPr>
          <w:rFonts w:ascii="宋体" w:hAnsi="宋体"/>
          <w:szCs w:val="21"/>
          <w:u w:val="single"/>
        </w:rPr>
        <w:t xml:space="preserve"> </w:t>
      </w:r>
      <w:r>
        <w:rPr>
          <w:rFonts w:ascii="宋体" w:hAnsi="宋体" w:hint="eastAsia"/>
          <w:color w:val="FF0000"/>
          <w:szCs w:val="21"/>
          <w:u w:val="single"/>
        </w:rPr>
        <w:t>肥皂水</w:t>
      </w:r>
      <w:r>
        <w:rPr>
          <w:rFonts w:ascii="宋体" w:hAnsi="宋体" w:hint="eastAsia"/>
          <w:color w:val="FF0000"/>
          <w:szCs w:val="21"/>
        </w:rPr>
        <w:t xml:space="preserve">     3.</w:t>
      </w:r>
      <w:r w:rsidRPr="00C855BA">
        <w:rPr>
          <w:rFonts w:ascii="宋体" w:hAnsi="宋体" w:hint="eastAsia"/>
          <w:color w:val="FF0000"/>
          <w:szCs w:val="21"/>
          <w:u w:val="single"/>
        </w:rPr>
        <w:t xml:space="preserve"> </w:t>
      </w:r>
      <w:r>
        <w:rPr>
          <w:rFonts w:ascii="宋体" w:hAnsi="宋体" w:hint="eastAsia"/>
          <w:color w:val="FF0000"/>
          <w:szCs w:val="21"/>
          <w:u w:val="single"/>
        </w:rPr>
        <w:t>铀系</w:t>
      </w:r>
      <w:r>
        <w:rPr>
          <w:szCs w:val="21"/>
          <w:u w:val="single"/>
        </w:rPr>
        <w:t xml:space="preserve">  </w:t>
      </w:r>
      <w:r>
        <w:rPr>
          <w:rFonts w:ascii="宋体" w:hAnsi="宋体" w:hint="eastAsia"/>
          <w:szCs w:val="21"/>
        </w:rPr>
        <w:t>、</w:t>
      </w:r>
      <w:r>
        <w:rPr>
          <w:rFonts w:ascii="宋体" w:hAnsi="宋体" w:hint="eastAsia"/>
          <w:color w:val="FF0000"/>
          <w:szCs w:val="21"/>
          <w:u w:val="single"/>
        </w:rPr>
        <w:t>锕系</w:t>
      </w:r>
      <w:r>
        <w:rPr>
          <w:rFonts w:ascii="宋体" w:hAnsi="宋体" w:hint="eastAsia"/>
          <w:color w:val="FF0000"/>
          <w:szCs w:val="21"/>
        </w:rPr>
        <w:t xml:space="preserve">     </w:t>
      </w:r>
      <w:r w:rsidR="009F5438">
        <w:rPr>
          <w:rFonts w:ascii="宋体" w:hAnsi="宋体" w:hint="eastAsia"/>
          <w:color w:val="FF0000"/>
          <w:szCs w:val="21"/>
        </w:rPr>
        <w:t>4.</w:t>
      </w:r>
      <w:r w:rsidR="009F5438" w:rsidRPr="009F5438">
        <w:rPr>
          <w:rFonts w:ascii="宋体" w:hAnsi="宋体" w:hint="eastAsia"/>
          <w:color w:val="FF0000"/>
          <w:szCs w:val="21"/>
          <w:u w:val="single"/>
        </w:rPr>
        <w:t xml:space="preserve"> </w:t>
      </w:r>
      <w:r w:rsidR="009F5438">
        <w:rPr>
          <w:rFonts w:ascii="宋体" w:hAnsi="宋体" w:hint="eastAsia"/>
          <w:color w:val="FF0000"/>
          <w:szCs w:val="21"/>
          <w:u w:val="single"/>
        </w:rPr>
        <w:t>辐射的早期效应</w:t>
      </w:r>
      <w:r w:rsidR="009F5438">
        <w:rPr>
          <w:rFonts w:ascii="宋体" w:hAnsi="宋体" w:hint="eastAsia"/>
          <w:color w:val="FF0000"/>
          <w:szCs w:val="21"/>
        </w:rPr>
        <w:t xml:space="preserve">    </w:t>
      </w:r>
      <w:r w:rsidR="003F164F">
        <w:rPr>
          <w:rFonts w:ascii="宋体" w:hAnsi="宋体" w:hint="eastAsia"/>
          <w:color w:val="FF0000"/>
          <w:szCs w:val="21"/>
        </w:rPr>
        <w:t>5.</w:t>
      </w:r>
      <w:r w:rsidR="003F164F" w:rsidRPr="003F164F">
        <w:rPr>
          <w:rFonts w:ascii="宋体" w:hAnsi="宋体" w:hint="eastAsia"/>
          <w:color w:val="FF0000"/>
          <w:szCs w:val="21"/>
          <w:u w:val="single"/>
        </w:rPr>
        <w:t xml:space="preserve"> </w:t>
      </w:r>
      <w:r w:rsidR="003F164F">
        <w:rPr>
          <w:rFonts w:ascii="宋体" w:hAnsi="宋体" w:hint="eastAsia"/>
          <w:color w:val="FF0000"/>
          <w:szCs w:val="21"/>
          <w:u w:val="single"/>
        </w:rPr>
        <w:t>检伤分类</w:t>
      </w:r>
      <w:r w:rsidR="003F164F">
        <w:rPr>
          <w:szCs w:val="21"/>
          <w:u w:val="single"/>
        </w:rPr>
        <w:t xml:space="preserve"> </w:t>
      </w:r>
      <w:r w:rsidR="003F164F">
        <w:rPr>
          <w:rFonts w:ascii="宋体" w:hAnsi="宋体" w:hint="eastAsia"/>
          <w:szCs w:val="21"/>
        </w:rPr>
        <w:t>，</w:t>
      </w:r>
      <w:r w:rsidR="003F164F">
        <w:rPr>
          <w:szCs w:val="21"/>
          <w:u w:val="single"/>
        </w:rPr>
        <w:t xml:space="preserve"> </w:t>
      </w:r>
      <w:r w:rsidR="003F164F">
        <w:rPr>
          <w:rFonts w:ascii="宋体" w:hAnsi="宋体" w:hint="eastAsia"/>
          <w:color w:val="FF0000"/>
          <w:szCs w:val="21"/>
          <w:u w:val="single"/>
        </w:rPr>
        <w:t>分类治疗</w:t>
      </w:r>
      <w:r w:rsidR="003F164F">
        <w:rPr>
          <w:rFonts w:ascii="宋体" w:hAnsi="宋体" w:hint="eastAsia"/>
          <w:color w:val="FF0000"/>
          <w:szCs w:val="21"/>
        </w:rPr>
        <w:t xml:space="preserve">   </w:t>
      </w:r>
      <w:r w:rsidR="00F5423A">
        <w:rPr>
          <w:rFonts w:ascii="宋体" w:hAnsi="宋体" w:hint="eastAsia"/>
          <w:color w:val="FF0000"/>
          <w:szCs w:val="21"/>
        </w:rPr>
        <w:t>6.</w:t>
      </w:r>
      <w:r w:rsidR="00F5423A" w:rsidRPr="00F5423A">
        <w:rPr>
          <w:rFonts w:ascii="宋体" w:hAnsi="宋体" w:hint="eastAsia"/>
          <w:color w:val="FF0000"/>
          <w:szCs w:val="21"/>
          <w:u w:val="single"/>
        </w:rPr>
        <w:t xml:space="preserve"> </w:t>
      </w:r>
      <w:r w:rsidR="00F5423A">
        <w:rPr>
          <w:rFonts w:ascii="宋体" w:hAnsi="宋体" w:hint="eastAsia"/>
          <w:color w:val="FF0000"/>
          <w:szCs w:val="21"/>
          <w:u w:val="single"/>
        </w:rPr>
        <w:t>热效应</w:t>
      </w:r>
      <w:r w:rsidR="00F5423A">
        <w:rPr>
          <w:szCs w:val="21"/>
          <w:u w:val="single"/>
        </w:rPr>
        <w:t xml:space="preserve">  </w:t>
      </w:r>
      <w:r w:rsidR="00F5423A">
        <w:rPr>
          <w:rFonts w:hint="eastAsia"/>
          <w:szCs w:val="21"/>
        </w:rPr>
        <w:t>、</w:t>
      </w:r>
      <w:r w:rsidR="00F5423A">
        <w:rPr>
          <w:szCs w:val="21"/>
          <w:u w:val="single"/>
        </w:rPr>
        <w:t xml:space="preserve">  </w:t>
      </w:r>
      <w:r w:rsidR="00F5423A">
        <w:rPr>
          <w:rFonts w:ascii="宋体" w:hAnsi="宋体" w:hint="eastAsia"/>
          <w:color w:val="FF0000"/>
          <w:szCs w:val="21"/>
          <w:u w:val="single"/>
        </w:rPr>
        <w:t>非热效应</w:t>
      </w:r>
    </w:p>
    <w:p w:rsidR="00BB68E9" w:rsidRDefault="00BB68E9" w:rsidP="00BB68E9">
      <w:pPr>
        <w:tabs>
          <w:tab w:val="left" w:pos="540"/>
        </w:tabs>
        <w:spacing w:line="380" w:lineRule="exact"/>
        <w:rPr>
          <w:b/>
          <w:bCs/>
          <w:szCs w:val="21"/>
        </w:rPr>
      </w:pPr>
      <w:r>
        <w:rPr>
          <w:rFonts w:hAnsi="宋体"/>
          <w:b/>
          <w:bCs/>
          <w:szCs w:val="21"/>
        </w:rPr>
        <w:t>二</w:t>
      </w:r>
      <w:r>
        <w:rPr>
          <w:rFonts w:hAnsi="宋体"/>
          <w:b/>
          <w:bCs/>
          <w:color w:val="000000"/>
          <w:szCs w:val="21"/>
        </w:rPr>
        <w:t>．</w:t>
      </w:r>
      <w:r>
        <w:rPr>
          <w:rFonts w:hAnsi="宋体"/>
          <w:b/>
          <w:bCs/>
          <w:szCs w:val="21"/>
        </w:rPr>
        <w:t>名词解释</w:t>
      </w:r>
    </w:p>
    <w:p w:rsidR="00BB68E9" w:rsidRDefault="00BB68E9" w:rsidP="00BB68E9">
      <w:pPr>
        <w:spacing w:line="360" w:lineRule="exact"/>
        <w:ind w:left="660" w:hangingChars="300" w:hanging="660"/>
        <w:rPr>
          <w:rFonts w:ascii="宋体" w:hAnsi="宋体" w:hint="eastAsia"/>
          <w:color w:val="FF0000"/>
          <w:szCs w:val="21"/>
        </w:rPr>
      </w:pPr>
      <w:r>
        <w:rPr>
          <w:rFonts w:ascii="宋体" w:hAnsi="宋体" w:hint="eastAsia"/>
          <w:szCs w:val="21"/>
        </w:rPr>
        <w:t>2.</w:t>
      </w:r>
      <w:r>
        <w:rPr>
          <w:rFonts w:ascii="宋体" w:hAnsi="宋体" w:hint="eastAsia"/>
          <w:szCs w:val="21"/>
        </w:rPr>
        <w:t>气溶胶：</w:t>
      </w:r>
      <w:r>
        <w:rPr>
          <w:rFonts w:ascii="宋体" w:hAnsi="宋体" w:hint="eastAsia"/>
          <w:color w:val="FF0000"/>
          <w:szCs w:val="21"/>
        </w:rPr>
        <w:t>指沉降速度可以忽略的固体粒子、液体粒子或固体和液体粒子在气体介质中的悬浮体。由于大多数情况都是以空气作为分散介质的，所以气溶胶多指空气溶胶。</w:t>
      </w:r>
      <w:r>
        <w:rPr>
          <w:rFonts w:ascii="宋体" w:hAnsi="宋体" w:hint="eastAsia"/>
          <w:color w:val="FF0000"/>
          <w:szCs w:val="21"/>
        </w:rPr>
        <w:t xml:space="preserve"> </w:t>
      </w:r>
    </w:p>
    <w:p w:rsidR="00BB68E9" w:rsidRDefault="00BB68E9" w:rsidP="00BB68E9">
      <w:pPr>
        <w:spacing w:line="360" w:lineRule="exact"/>
        <w:ind w:left="660" w:hangingChars="300" w:hanging="660"/>
        <w:rPr>
          <w:rFonts w:ascii="宋体" w:hAnsi="宋体" w:hint="eastAsia"/>
          <w:color w:val="FF0000"/>
          <w:szCs w:val="21"/>
        </w:rPr>
      </w:pPr>
      <w:r>
        <w:rPr>
          <w:rFonts w:ascii="宋体" w:hAnsi="宋体" w:hint="eastAsia"/>
          <w:szCs w:val="21"/>
        </w:rPr>
        <w:t>3.</w:t>
      </w:r>
      <w:r>
        <w:rPr>
          <w:rFonts w:ascii="宋体" w:hAnsi="宋体" w:hint="eastAsia"/>
          <w:szCs w:val="21"/>
        </w:rPr>
        <w:t>最高容许浓度：</w:t>
      </w:r>
      <w:r>
        <w:rPr>
          <w:rFonts w:ascii="宋体" w:hAnsi="宋体" w:hint="eastAsia"/>
          <w:color w:val="FF0000"/>
          <w:szCs w:val="21"/>
        </w:rPr>
        <w:t>最高容许浓度是指劳动者在该浓度下长期进行生产劳动不会造成急性或慢性职业危害的浓度值。这是在对此有代表性的采样测定中均不应超过的数值。它的确定一般是经过一定的生物试验和职业病学研究，由一定范围的专家组织和专业主管部门完成的，同一毒物往往有不同的规定值。</w:t>
      </w:r>
    </w:p>
    <w:p w:rsidR="00BB68E9" w:rsidRDefault="00BB68E9" w:rsidP="00BB68E9">
      <w:pPr>
        <w:spacing w:line="360" w:lineRule="exact"/>
        <w:ind w:left="376" w:hangingChars="171" w:hanging="376"/>
        <w:rPr>
          <w:rFonts w:ascii="宋体" w:hAnsi="宋体"/>
          <w:color w:val="FF0000"/>
          <w:szCs w:val="21"/>
        </w:rPr>
      </w:pPr>
      <w:r>
        <w:rPr>
          <w:rFonts w:ascii="宋体" w:hAnsi="宋体" w:hint="eastAsia"/>
          <w:szCs w:val="21"/>
        </w:rPr>
        <w:t>4.</w:t>
      </w:r>
      <w:r>
        <w:rPr>
          <w:rFonts w:ascii="宋体" w:hAnsi="宋体" w:hint="eastAsia"/>
          <w:szCs w:val="21"/>
        </w:rPr>
        <w:t>核素</w:t>
      </w:r>
      <w:r>
        <w:rPr>
          <w:rFonts w:ascii="宋体" w:hAnsi="宋体" w:hint="eastAsia"/>
          <w:b/>
          <w:szCs w:val="21"/>
        </w:rPr>
        <w:t>：</w:t>
      </w:r>
      <w:r>
        <w:rPr>
          <w:rFonts w:ascii="宋体" w:hAnsi="宋体" w:hint="eastAsia"/>
          <w:bCs/>
          <w:color w:val="FF0000"/>
          <w:szCs w:val="21"/>
        </w:rPr>
        <w:t>指核内具有确定数目的质子和中子并具有同一能态的一类原子</w:t>
      </w:r>
    </w:p>
    <w:p w:rsidR="00BB68E9" w:rsidRDefault="00BB68E9" w:rsidP="00BB68E9">
      <w:pPr>
        <w:spacing w:line="360" w:lineRule="exact"/>
        <w:ind w:left="960" w:hangingChars="300" w:hanging="960"/>
        <w:rPr>
          <w:rFonts w:ascii="宋体" w:hAnsi="宋体" w:hint="eastAsia"/>
          <w:color w:val="FF0000"/>
          <w:szCs w:val="21"/>
        </w:rPr>
      </w:pPr>
      <w:r>
        <w:rPr>
          <w:rFonts w:ascii="宋体" w:hAnsi="宋体" w:hint="eastAsia"/>
          <w:sz w:val="32"/>
          <w:szCs w:val="32"/>
        </w:rPr>
        <w:t>5.</w:t>
      </w:r>
      <w:r w:rsidRPr="00BB68E9">
        <w:rPr>
          <w:rFonts w:ascii="宋体" w:hAnsi="宋体" w:hint="eastAsia"/>
          <w:szCs w:val="21"/>
        </w:rPr>
        <w:t xml:space="preserve"> </w:t>
      </w:r>
      <w:r>
        <w:rPr>
          <w:rFonts w:ascii="宋体" w:hAnsi="宋体" w:hint="eastAsia"/>
          <w:szCs w:val="21"/>
        </w:rPr>
        <w:t>燃烧净化技术：</w:t>
      </w:r>
      <w:r>
        <w:rPr>
          <w:rFonts w:ascii="宋体" w:hAnsi="宋体" w:hint="eastAsia"/>
          <w:color w:val="FF0000"/>
          <w:szCs w:val="21"/>
        </w:rPr>
        <w:t>用燃烧方法来销毁有毒有害气体、蒸气或烟尘，使之变成无毒无害物质的方法。</w:t>
      </w:r>
    </w:p>
    <w:p w:rsidR="00D84CE0" w:rsidRDefault="00D84CE0" w:rsidP="00D84CE0">
      <w:pPr>
        <w:tabs>
          <w:tab w:val="left" w:pos="540"/>
        </w:tabs>
        <w:spacing w:line="380" w:lineRule="exact"/>
        <w:rPr>
          <w:rFonts w:hAnsi="宋体" w:hint="eastAsia"/>
          <w:b/>
          <w:bCs/>
          <w:szCs w:val="21"/>
        </w:rPr>
      </w:pPr>
      <w:r>
        <w:rPr>
          <w:rFonts w:hAnsi="宋体"/>
          <w:b/>
          <w:bCs/>
          <w:szCs w:val="21"/>
        </w:rPr>
        <w:t>三</w:t>
      </w:r>
      <w:r>
        <w:rPr>
          <w:rFonts w:hAnsi="宋体"/>
          <w:b/>
          <w:bCs/>
          <w:color w:val="000000"/>
          <w:szCs w:val="21"/>
        </w:rPr>
        <w:t>．</w:t>
      </w:r>
      <w:r>
        <w:rPr>
          <w:rFonts w:hAnsi="宋体"/>
          <w:b/>
          <w:bCs/>
          <w:szCs w:val="21"/>
        </w:rPr>
        <w:t>简述题</w:t>
      </w:r>
    </w:p>
    <w:p w:rsidR="00D84CE0" w:rsidRDefault="00D84CE0" w:rsidP="00D84CE0">
      <w:pPr>
        <w:tabs>
          <w:tab w:val="left" w:pos="540"/>
        </w:tabs>
        <w:spacing w:line="380" w:lineRule="exact"/>
        <w:rPr>
          <w:b/>
          <w:bCs/>
          <w:szCs w:val="21"/>
        </w:rPr>
      </w:pPr>
      <w:r>
        <w:rPr>
          <w:rFonts w:hAnsi="宋体" w:hint="eastAsia"/>
          <w:b/>
          <w:bCs/>
          <w:szCs w:val="21"/>
        </w:rPr>
        <w:t>1.</w:t>
      </w:r>
      <w:r w:rsidR="008F0AC1">
        <w:rPr>
          <w:rFonts w:hAnsi="宋体" w:hint="eastAsia"/>
          <w:b/>
          <w:bCs/>
          <w:szCs w:val="21"/>
        </w:rPr>
        <w:t>答：</w:t>
      </w:r>
    </w:p>
    <w:p w:rsidR="00D84CE0" w:rsidRDefault="00D84CE0" w:rsidP="00D84CE0">
      <w:pPr>
        <w:widowControl w:val="0"/>
        <w:numPr>
          <w:ilvl w:val="0"/>
          <w:numId w:val="1"/>
        </w:numPr>
        <w:tabs>
          <w:tab w:val="clear" w:pos="1449"/>
          <w:tab w:val="left" w:pos="900"/>
        </w:tabs>
        <w:adjustRightInd/>
        <w:snapToGrid/>
        <w:spacing w:after="0" w:line="360" w:lineRule="exact"/>
        <w:ind w:left="900" w:hanging="360"/>
        <w:jc w:val="both"/>
        <w:rPr>
          <w:rFonts w:ascii="宋体" w:hAnsi="宋体" w:hint="eastAsia"/>
          <w:color w:val="FF0000"/>
          <w:szCs w:val="21"/>
        </w:rPr>
      </w:pPr>
      <w:r>
        <w:rPr>
          <w:rFonts w:ascii="宋体" w:hAnsi="宋体" w:hint="eastAsia"/>
          <w:color w:val="FF0000"/>
          <w:szCs w:val="21"/>
        </w:rPr>
        <w:t>一定的能量：以满足探伤厚度的要求</w:t>
      </w:r>
    </w:p>
    <w:p w:rsidR="00D84CE0" w:rsidRDefault="00D84CE0" w:rsidP="00D84CE0">
      <w:pPr>
        <w:widowControl w:val="0"/>
        <w:numPr>
          <w:ilvl w:val="0"/>
          <w:numId w:val="1"/>
        </w:numPr>
        <w:tabs>
          <w:tab w:val="clear" w:pos="1449"/>
          <w:tab w:val="left" w:pos="900"/>
        </w:tabs>
        <w:adjustRightInd/>
        <w:snapToGrid/>
        <w:spacing w:after="0" w:line="360" w:lineRule="exact"/>
        <w:ind w:left="900" w:hanging="360"/>
        <w:jc w:val="both"/>
        <w:rPr>
          <w:rFonts w:ascii="宋体" w:hAnsi="宋体" w:hint="eastAsia"/>
          <w:color w:val="FF0000"/>
          <w:szCs w:val="21"/>
        </w:rPr>
      </w:pPr>
      <w:r>
        <w:rPr>
          <w:rFonts w:ascii="宋体" w:hAnsi="宋体" w:hint="eastAsia"/>
          <w:color w:val="FF0000"/>
          <w:szCs w:val="21"/>
        </w:rPr>
        <w:t>适当的半衰期：以满足探伤使用期的要求</w:t>
      </w:r>
    </w:p>
    <w:p w:rsidR="00D84CE0" w:rsidRDefault="00D84CE0" w:rsidP="00D84CE0">
      <w:pPr>
        <w:widowControl w:val="0"/>
        <w:numPr>
          <w:ilvl w:val="0"/>
          <w:numId w:val="1"/>
        </w:numPr>
        <w:tabs>
          <w:tab w:val="clear" w:pos="1449"/>
          <w:tab w:val="left" w:pos="900"/>
        </w:tabs>
        <w:adjustRightInd/>
        <w:snapToGrid/>
        <w:spacing w:after="0" w:line="360" w:lineRule="exact"/>
        <w:ind w:left="900" w:hanging="360"/>
        <w:jc w:val="both"/>
        <w:rPr>
          <w:rFonts w:ascii="宋体" w:hAnsi="宋体" w:hint="eastAsia"/>
          <w:color w:val="FF0000"/>
          <w:szCs w:val="21"/>
        </w:rPr>
      </w:pPr>
      <w:r>
        <w:rPr>
          <w:rFonts w:ascii="宋体" w:hAnsi="宋体" w:hint="eastAsia"/>
          <w:color w:val="FF0000"/>
          <w:szCs w:val="21"/>
        </w:rPr>
        <w:t>射线源的尺寸尽可能小：以满足探伤灵敏度的要求</w:t>
      </w:r>
    </w:p>
    <w:p w:rsidR="00D84CE0" w:rsidRDefault="00D84CE0" w:rsidP="00D84CE0">
      <w:pPr>
        <w:widowControl w:val="0"/>
        <w:numPr>
          <w:ilvl w:val="0"/>
          <w:numId w:val="1"/>
        </w:numPr>
        <w:tabs>
          <w:tab w:val="clear" w:pos="1449"/>
          <w:tab w:val="left" w:pos="900"/>
        </w:tabs>
        <w:adjustRightInd/>
        <w:snapToGrid/>
        <w:spacing w:after="0" w:line="360" w:lineRule="exact"/>
        <w:ind w:leftChars="256" w:left="563" w:firstLine="0"/>
        <w:jc w:val="both"/>
        <w:rPr>
          <w:rFonts w:ascii="宋体" w:hAnsi="宋体" w:hint="eastAsia"/>
          <w:color w:val="FF0000"/>
          <w:szCs w:val="21"/>
        </w:rPr>
      </w:pPr>
      <w:r>
        <w:rPr>
          <w:rFonts w:ascii="宋体" w:hAnsi="宋体" w:hint="eastAsia"/>
          <w:color w:val="FF0000"/>
          <w:szCs w:val="21"/>
        </w:rPr>
        <w:t>放射源能大量制造</w:t>
      </w:r>
      <w:r>
        <w:rPr>
          <w:rFonts w:ascii="宋体" w:hAnsi="宋体" w:hint="eastAsia"/>
          <w:color w:val="FF0000"/>
          <w:szCs w:val="21"/>
        </w:rPr>
        <w:t xml:space="preserve"> </w:t>
      </w:r>
    </w:p>
    <w:p w:rsidR="00D84CE0" w:rsidRDefault="00D84CE0" w:rsidP="00D84CE0">
      <w:pPr>
        <w:widowControl w:val="0"/>
        <w:numPr>
          <w:ilvl w:val="0"/>
          <w:numId w:val="1"/>
        </w:numPr>
        <w:tabs>
          <w:tab w:val="clear" w:pos="1449"/>
          <w:tab w:val="left" w:pos="900"/>
        </w:tabs>
        <w:adjustRightInd/>
        <w:snapToGrid/>
        <w:spacing w:after="0" w:line="360" w:lineRule="exact"/>
        <w:ind w:leftChars="256" w:left="563" w:firstLine="0"/>
        <w:jc w:val="both"/>
        <w:rPr>
          <w:rFonts w:ascii="宋体" w:hAnsi="宋体" w:hint="eastAsia"/>
          <w:color w:val="FF0000"/>
          <w:szCs w:val="21"/>
        </w:rPr>
      </w:pPr>
      <w:r>
        <w:rPr>
          <w:rFonts w:ascii="宋体" w:hAnsi="宋体" w:hint="eastAsia"/>
          <w:color w:val="FF0000"/>
          <w:szCs w:val="21"/>
        </w:rPr>
        <w:t>使用安全</w:t>
      </w:r>
      <w:r>
        <w:rPr>
          <w:rFonts w:ascii="宋体" w:hAnsi="宋体" w:hint="eastAsia"/>
          <w:color w:val="FF0000"/>
          <w:szCs w:val="21"/>
        </w:rPr>
        <w:t xml:space="preserve"> </w:t>
      </w:r>
    </w:p>
    <w:p w:rsidR="00D84CE0" w:rsidRDefault="00D84CE0" w:rsidP="00D84CE0">
      <w:pPr>
        <w:widowControl w:val="0"/>
        <w:numPr>
          <w:ilvl w:val="0"/>
          <w:numId w:val="1"/>
        </w:numPr>
        <w:tabs>
          <w:tab w:val="clear" w:pos="1449"/>
          <w:tab w:val="left" w:pos="900"/>
          <w:tab w:val="left" w:pos="1080"/>
        </w:tabs>
        <w:adjustRightInd/>
        <w:snapToGrid/>
        <w:spacing w:after="0" w:line="360" w:lineRule="exact"/>
        <w:ind w:leftChars="256" w:left="563" w:firstLine="0"/>
        <w:jc w:val="both"/>
        <w:rPr>
          <w:rFonts w:ascii="宋体" w:hAnsi="宋体" w:hint="eastAsia"/>
          <w:color w:val="FF0000"/>
          <w:szCs w:val="21"/>
        </w:rPr>
      </w:pPr>
      <w:r>
        <w:rPr>
          <w:rFonts w:ascii="宋体" w:hAnsi="宋体" w:hint="eastAsia"/>
          <w:color w:val="FF0000"/>
          <w:szCs w:val="21"/>
        </w:rPr>
        <w:t>便于处理</w:t>
      </w:r>
    </w:p>
    <w:p w:rsidR="008F0AC1" w:rsidRDefault="008F0AC1" w:rsidP="008F0AC1">
      <w:pPr>
        <w:widowControl w:val="0"/>
        <w:tabs>
          <w:tab w:val="left" w:pos="900"/>
          <w:tab w:val="left" w:pos="1080"/>
        </w:tabs>
        <w:adjustRightInd/>
        <w:snapToGrid/>
        <w:spacing w:after="0" w:line="360" w:lineRule="exact"/>
        <w:ind w:left="563"/>
        <w:jc w:val="both"/>
        <w:rPr>
          <w:rFonts w:ascii="宋体" w:hAnsi="宋体" w:hint="eastAsia"/>
          <w:color w:val="FF0000"/>
          <w:szCs w:val="21"/>
        </w:rPr>
      </w:pPr>
    </w:p>
    <w:p w:rsidR="008F0AC1" w:rsidRDefault="008F0AC1" w:rsidP="008F0AC1">
      <w:pPr>
        <w:widowControl w:val="0"/>
        <w:tabs>
          <w:tab w:val="left" w:pos="900"/>
          <w:tab w:val="left" w:pos="1080"/>
        </w:tabs>
        <w:adjustRightInd/>
        <w:snapToGrid/>
        <w:spacing w:after="0" w:line="360" w:lineRule="exact"/>
        <w:ind w:left="563"/>
        <w:jc w:val="both"/>
        <w:rPr>
          <w:rFonts w:ascii="宋体" w:hAnsi="宋体" w:hint="eastAsia"/>
          <w:color w:val="FF0000"/>
          <w:szCs w:val="21"/>
        </w:rPr>
      </w:pPr>
      <w:r>
        <w:rPr>
          <w:rFonts w:ascii="宋体" w:hAnsi="宋体" w:hint="eastAsia"/>
          <w:color w:val="FF0000"/>
          <w:szCs w:val="21"/>
        </w:rPr>
        <w:t>4.</w:t>
      </w:r>
      <w:r>
        <w:rPr>
          <w:rFonts w:ascii="宋体" w:hAnsi="宋体" w:hint="eastAsia"/>
          <w:color w:val="FF0000"/>
          <w:szCs w:val="21"/>
        </w:rPr>
        <w:t>答：</w:t>
      </w:r>
    </w:p>
    <w:p w:rsidR="00D84CE0" w:rsidRDefault="00D84CE0" w:rsidP="00D84CE0">
      <w:pPr>
        <w:widowControl w:val="0"/>
        <w:tabs>
          <w:tab w:val="left" w:pos="900"/>
          <w:tab w:val="left" w:pos="1080"/>
        </w:tabs>
        <w:adjustRightInd/>
        <w:snapToGrid/>
        <w:spacing w:after="0" w:line="360" w:lineRule="exact"/>
        <w:ind w:left="563"/>
        <w:jc w:val="both"/>
        <w:rPr>
          <w:rFonts w:ascii="宋体" w:hAnsi="宋体" w:hint="eastAsia"/>
          <w:color w:val="FF0000"/>
          <w:szCs w:val="21"/>
        </w:rPr>
      </w:pPr>
    </w:p>
    <w:p w:rsidR="008F0AC1" w:rsidRDefault="008F0AC1" w:rsidP="008F0AC1">
      <w:pPr>
        <w:widowControl w:val="0"/>
        <w:numPr>
          <w:ilvl w:val="0"/>
          <w:numId w:val="2"/>
        </w:numPr>
        <w:tabs>
          <w:tab w:val="clear" w:pos="1089"/>
          <w:tab w:val="left" w:pos="720"/>
        </w:tabs>
        <w:adjustRightInd/>
        <w:snapToGrid/>
        <w:spacing w:after="0" w:line="360" w:lineRule="exact"/>
        <w:ind w:left="1080" w:hanging="540"/>
        <w:jc w:val="both"/>
        <w:rPr>
          <w:rFonts w:ascii="宋体" w:hAnsi="宋体" w:hint="eastAsia"/>
          <w:color w:val="FF0000"/>
          <w:szCs w:val="21"/>
        </w:rPr>
      </w:pPr>
      <w:r>
        <w:rPr>
          <w:rFonts w:ascii="宋体" w:hAnsi="宋体" w:hint="eastAsia"/>
          <w:color w:val="FF0000"/>
          <w:szCs w:val="21"/>
        </w:rPr>
        <w:t>辐射的种类：不同种类的射线其辐射能力不同</w:t>
      </w:r>
    </w:p>
    <w:p w:rsidR="008F0AC1" w:rsidRDefault="008F0AC1" w:rsidP="008F0AC1">
      <w:pPr>
        <w:widowControl w:val="0"/>
        <w:numPr>
          <w:ilvl w:val="0"/>
          <w:numId w:val="2"/>
        </w:numPr>
        <w:tabs>
          <w:tab w:val="clear" w:pos="1089"/>
          <w:tab w:val="left" w:pos="720"/>
        </w:tabs>
        <w:adjustRightInd/>
        <w:snapToGrid/>
        <w:spacing w:after="0" w:line="360" w:lineRule="exact"/>
        <w:ind w:left="1080" w:hanging="540"/>
        <w:jc w:val="both"/>
        <w:rPr>
          <w:rFonts w:ascii="宋体" w:hAnsi="宋体" w:hint="eastAsia"/>
          <w:color w:val="FF0000"/>
          <w:szCs w:val="21"/>
        </w:rPr>
      </w:pPr>
      <w:r>
        <w:rPr>
          <w:rFonts w:ascii="宋体" w:hAnsi="宋体" w:hint="eastAsia"/>
          <w:color w:val="FF0000"/>
          <w:szCs w:val="21"/>
        </w:rPr>
        <w:t>剂量：剂量大，效应显著</w:t>
      </w:r>
    </w:p>
    <w:p w:rsidR="008F0AC1" w:rsidRDefault="008F0AC1" w:rsidP="008F0AC1">
      <w:pPr>
        <w:widowControl w:val="0"/>
        <w:numPr>
          <w:ilvl w:val="0"/>
          <w:numId w:val="2"/>
        </w:numPr>
        <w:tabs>
          <w:tab w:val="clear" w:pos="1089"/>
          <w:tab w:val="left" w:pos="720"/>
        </w:tabs>
        <w:adjustRightInd/>
        <w:snapToGrid/>
        <w:spacing w:after="0" w:line="360" w:lineRule="exact"/>
        <w:ind w:left="1080" w:hanging="540"/>
        <w:jc w:val="both"/>
        <w:rPr>
          <w:rFonts w:ascii="宋体" w:hAnsi="宋体" w:hint="eastAsia"/>
          <w:color w:val="FF0000"/>
          <w:szCs w:val="21"/>
        </w:rPr>
      </w:pPr>
      <w:r>
        <w:rPr>
          <w:rFonts w:ascii="宋体" w:hAnsi="宋体" w:hint="eastAsia"/>
          <w:color w:val="FF0000"/>
          <w:szCs w:val="21"/>
        </w:rPr>
        <w:t>剂量率：剂量率越大生物效应越显著。</w:t>
      </w:r>
    </w:p>
    <w:p w:rsidR="008F0AC1" w:rsidRDefault="008F0AC1" w:rsidP="008F0AC1">
      <w:pPr>
        <w:widowControl w:val="0"/>
        <w:numPr>
          <w:ilvl w:val="0"/>
          <w:numId w:val="2"/>
        </w:numPr>
        <w:tabs>
          <w:tab w:val="clear" w:pos="1089"/>
          <w:tab w:val="left" w:pos="720"/>
        </w:tabs>
        <w:adjustRightInd/>
        <w:snapToGrid/>
        <w:spacing w:after="0" w:line="360" w:lineRule="exact"/>
        <w:ind w:left="1080" w:hanging="540"/>
        <w:jc w:val="both"/>
        <w:rPr>
          <w:rFonts w:ascii="宋体" w:hAnsi="宋体" w:hint="eastAsia"/>
          <w:color w:val="FF0000"/>
          <w:szCs w:val="21"/>
        </w:rPr>
      </w:pPr>
      <w:r>
        <w:rPr>
          <w:rFonts w:ascii="宋体" w:hAnsi="宋体" w:hint="eastAsia"/>
          <w:color w:val="FF0000"/>
          <w:szCs w:val="21"/>
        </w:rPr>
        <w:t>照射方式：内照射和外照射、一次和多次照射、部位、面积、器官组织的敏感程度等等</w:t>
      </w:r>
    </w:p>
    <w:p w:rsidR="008F0AC1" w:rsidRDefault="004B1431" w:rsidP="00D84CE0">
      <w:pPr>
        <w:widowControl w:val="0"/>
        <w:tabs>
          <w:tab w:val="left" w:pos="900"/>
        </w:tabs>
        <w:adjustRightInd/>
        <w:snapToGrid/>
        <w:spacing w:after="0" w:line="360" w:lineRule="exact"/>
        <w:ind w:left="563"/>
        <w:jc w:val="both"/>
        <w:rPr>
          <w:rFonts w:ascii="宋体" w:hAnsi="宋体" w:hint="eastAsia"/>
          <w:color w:val="FF0000"/>
          <w:szCs w:val="21"/>
        </w:rPr>
      </w:pPr>
      <w:r>
        <w:rPr>
          <w:rFonts w:ascii="宋体" w:hAnsi="宋体" w:hint="eastAsia"/>
          <w:color w:val="FF0000"/>
          <w:szCs w:val="21"/>
        </w:rPr>
        <w:t>四、问答题</w:t>
      </w:r>
    </w:p>
    <w:p w:rsidR="004B1431" w:rsidRDefault="004B1431" w:rsidP="004B1431">
      <w:pPr>
        <w:spacing w:line="360" w:lineRule="exact"/>
        <w:ind w:leftChars="342" w:left="752"/>
        <w:rPr>
          <w:rFonts w:ascii="宋体" w:hAnsi="宋体"/>
          <w:color w:val="FF0000"/>
          <w:szCs w:val="21"/>
        </w:rPr>
      </w:pPr>
      <w:r>
        <w:rPr>
          <w:rFonts w:ascii="宋体" w:hAnsi="宋体" w:hint="eastAsia"/>
          <w:color w:val="FF0000"/>
          <w:szCs w:val="21"/>
        </w:rPr>
        <w:lastRenderedPageBreak/>
        <w:t>2.</w:t>
      </w:r>
      <w:r w:rsidRPr="004B1431">
        <w:rPr>
          <w:rFonts w:ascii="宋体" w:hAnsi="宋体" w:hint="eastAsia"/>
          <w:color w:val="FF0000"/>
          <w:szCs w:val="21"/>
        </w:rPr>
        <w:t xml:space="preserve"> </w:t>
      </w:r>
      <w:r>
        <w:rPr>
          <w:rFonts w:ascii="宋体" w:hAnsi="宋体" w:hint="eastAsia"/>
          <w:color w:val="FF0000"/>
          <w:szCs w:val="21"/>
        </w:rPr>
        <w:t>1</w:t>
      </w:r>
      <w:r>
        <w:rPr>
          <w:rFonts w:ascii="宋体" w:hAnsi="宋体" w:hint="eastAsia"/>
          <w:color w:val="FF0000"/>
          <w:szCs w:val="21"/>
        </w:rPr>
        <w:t>）劳动者如果发现企业在相同工作环境中有</w:t>
      </w:r>
      <w:r>
        <w:rPr>
          <w:rFonts w:ascii="宋体" w:hAnsi="宋体" w:hint="eastAsia"/>
          <w:color w:val="FF0000"/>
          <w:szCs w:val="21"/>
        </w:rPr>
        <w:t>2</w:t>
      </w:r>
      <w:r>
        <w:rPr>
          <w:rFonts w:ascii="宋体" w:hAnsi="宋体" w:hint="eastAsia"/>
          <w:color w:val="FF0000"/>
          <w:szCs w:val="21"/>
        </w:rPr>
        <w:t>人以上出现相同或相似的症状，而且用常见病、多发病不能解释的，首先应考虑他们是否患了职业病，可向当地卫生监督部门投诉。</w:t>
      </w:r>
    </w:p>
    <w:p w:rsidR="004B1431" w:rsidRDefault="004B1431" w:rsidP="004B1431">
      <w:pPr>
        <w:widowControl w:val="0"/>
        <w:numPr>
          <w:ilvl w:val="2"/>
          <w:numId w:val="3"/>
        </w:numPr>
        <w:tabs>
          <w:tab w:val="clear" w:pos="1725"/>
          <w:tab w:val="left" w:pos="540"/>
        </w:tabs>
        <w:adjustRightInd/>
        <w:snapToGrid/>
        <w:spacing w:after="0" w:line="360" w:lineRule="exact"/>
        <w:ind w:left="720" w:firstLine="0"/>
        <w:jc w:val="both"/>
        <w:rPr>
          <w:rFonts w:ascii="宋体" w:hAnsi="宋体" w:hint="eastAsia"/>
          <w:color w:val="FF0000"/>
          <w:szCs w:val="21"/>
        </w:rPr>
      </w:pPr>
      <w:r>
        <w:rPr>
          <w:rFonts w:ascii="宋体" w:hAnsi="宋体" w:hint="eastAsia"/>
          <w:color w:val="FF0000"/>
          <w:szCs w:val="21"/>
        </w:rPr>
        <w:t>如果怀疑自己接触职业病危害因素可能患职业病时，应到取得职业病诊断资格的医疗卫生机构申请职业病诊断。</w:t>
      </w:r>
    </w:p>
    <w:p w:rsidR="004B1431" w:rsidRDefault="004B1431" w:rsidP="004B1431">
      <w:pPr>
        <w:widowControl w:val="0"/>
        <w:numPr>
          <w:ilvl w:val="2"/>
          <w:numId w:val="3"/>
        </w:numPr>
        <w:tabs>
          <w:tab w:val="clear" w:pos="1725"/>
          <w:tab w:val="left" w:pos="720"/>
        </w:tabs>
        <w:adjustRightInd/>
        <w:snapToGrid/>
        <w:spacing w:after="0" w:line="360" w:lineRule="exact"/>
        <w:ind w:leftChars="342" w:left="752" w:firstLine="0"/>
        <w:jc w:val="both"/>
        <w:rPr>
          <w:rFonts w:ascii="宋体" w:hAnsi="宋体" w:hint="eastAsia"/>
          <w:color w:val="FF0000"/>
          <w:szCs w:val="21"/>
        </w:rPr>
      </w:pPr>
      <w:r>
        <w:rPr>
          <w:rFonts w:ascii="宋体" w:hAnsi="宋体" w:hint="eastAsia"/>
          <w:color w:val="FF0000"/>
          <w:szCs w:val="21"/>
        </w:rPr>
        <w:t>当诊断为职业病后，职业病诊断机构会向患者出具《职业病诊断证明书》。劳动者凭《职业病诊断证明书》依法获得职业病治疗、康复和赔偿，以及调离工作岗位等权益。厂方不履行法律责任时，劳动者应向当地卫生监督部门或劳动保障部门投诉，甚至向人民法院起诉，以获得合法权益。</w:t>
      </w:r>
    </w:p>
    <w:p w:rsidR="004B1431" w:rsidRDefault="004B1431" w:rsidP="004B1431">
      <w:pPr>
        <w:widowControl w:val="0"/>
        <w:numPr>
          <w:ilvl w:val="2"/>
          <w:numId w:val="3"/>
        </w:numPr>
        <w:tabs>
          <w:tab w:val="clear" w:pos="1725"/>
          <w:tab w:val="left" w:pos="720"/>
        </w:tabs>
        <w:adjustRightInd/>
        <w:snapToGrid/>
        <w:spacing w:after="0" w:line="360" w:lineRule="exact"/>
        <w:ind w:leftChars="342" w:left="752" w:firstLine="0"/>
        <w:jc w:val="both"/>
        <w:rPr>
          <w:rFonts w:ascii="宋体" w:hAnsi="宋体" w:hint="eastAsia"/>
          <w:color w:val="FF0000"/>
          <w:szCs w:val="21"/>
        </w:rPr>
      </w:pPr>
      <w:r>
        <w:rPr>
          <w:rFonts w:ascii="宋体" w:hAnsi="宋体" w:hint="eastAsia"/>
          <w:color w:val="FF0000"/>
          <w:szCs w:val="21"/>
        </w:rPr>
        <w:t>企业处理：发生职业病后，用人单位首先必须妥善处理职业病患者，安排他们进行治疗康复，并依据国家规定作出相关赔偿。卫生行政部门将根据用人单位违反《职业病防治法》具体事实作出相应的行政处罚决定，这包括警告、责令限期改正、罚款、责令停止产生职业病危害的作业，或者提请有关人民政府按照国务院规定的权限责令关闭。</w:t>
      </w:r>
    </w:p>
    <w:p w:rsidR="004B1431" w:rsidRDefault="004B1431" w:rsidP="00D84CE0">
      <w:pPr>
        <w:widowControl w:val="0"/>
        <w:tabs>
          <w:tab w:val="left" w:pos="900"/>
        </w:tabs>
        <w:adjustRightInd/>
        <w:snapToGrid/>
        <w:spacing w:after="0" w:line="360" w:lineRule="exact"/>
        <w:ind w:left="563"/>
        <w:jc w:val="both"/>
        <w:rPr>
          <w:rFonts w:ascii="宋体" w:hAnsi="宋体" w:hint="eastAsia"/>
          <w:color w:val="FF0000"/>
          <w:szCs w:val="21"/>
        </w:rPr>
      </w:pPr>
    </w:p>
    <w:p w:rsidR="00F5423A" w:rsidRPr="003F164F" w:rsidRDefault="00F5423A" w:rsidP="000071FB">
      <w:pPr>
        <w:rPr>
          <w:rFonts w:ascii="宋体" w:hAnsi="宋体" w:hint="eastAsia"/>
          <w:sz w:val="32"/>
          <w:szCs w:val="32"/>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63A" w:rsidRDefault="0073563A" w:rsidP="000071FB">
      <w:pPr>
        <w:spacing w:after="0"/>
      </w:pPr>
      <w:r>
        <w:separator/>
      </w:r>
    </w:p>
  </w:endnote>
  <w:endnote w:type="continuationSeparator" w:id="0">
    <w:p w:rsidR="0073563A" w:rsidRDefault="0073563A" w:rsidP="000071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63A" w:rsidRDefault="0073563A" w:rsidP="000071FB">
      <w:pPr>
        <w:spacing w:after="0"/>
      </w:pPr>
      <w:r>
        <w:separator/>
      </w:r>
    </w:p>
  </w:footnote>
  <w:footnote w:type="continuationSeparator" w:id="0">
    <w:p w:rsidR="0073563A" w:rsidRDefault="0073563A" w:rsidP="000071F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143C8"/>
    <w:multiLevelType w:val="multilevel"/>
    <w:tmpl w:val="483143C8"/>
    <w:lvl w:ilvl="0">
      <w:start w:val="1"/>
      <w:numFmt w:val="decimal"/>
      <w:lvlText w:val="%1、"/>
      <w:lvlJc w:val="left"/>
      <w:pPr>
        <w:tabs>
          <w:tab w:val="num" w:pos="1305"/>
        </w:tabs>
        <w:ind w:left="1305" w:hanging="360"/>
      </w:pPr>
      <w:rPr>
        <w:rFonts w:hint="eastAsia"/>
      </w:rPr>
    </w:lvl>
    <w:lvl w:ilvl="1">
      <w:start w:val="1"/>
      <w:numFmt w:val="decimal"/>
      <w:lvlText w:val="%2)"/>
      <w:lvlJc w:val="left"/>
      <w:pPr>
        <w:tabs>
          <w:tab w:val="num" w:pos="234"/>
        </w:tabs>
        <w:ind w:left="1365" w:hanging="420"/>
      </w:pPr>
      <w:rPr>
        <w:rFonts w:hint="eastAsia"/>
      </w:rPr>
    </w:lvl>
    <w:lvl w:ilvl="2">
      <w:start w:val="2"/>
      <w:numFmt w:val="decimal"/>
      <w:lvlText w:val="%3）"/>
      <w:lvlJc w:val="left"/>
      <w:pPr>
        <w:tabs>
          <w:tab w:val="num" w:pos="1725"/>
        </w:tabs>
        <w:ind w:left="1725" w:hanging="360"/>
      </w:pPr>
      <w:rPr>
        <w:rFonts w:hint="default"/>
      </w:r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1">
    <w:nsid w:val="57B2154A"/>
    <w:multiLevelType w:val="multilevel"/>
    <w:tmpl w:val="57B2154A"/>
    <w:lvl w:ilvl="0">
      <w:start w:val="1"/>
      <w:numFmt w:val="decimal"/>
      <w:lvlText w:val="%1)"/>
      <w:lvlJc w:val="left"/>
      <w:pPr>
        <w:tabs>
          <w:tab w:val="num" w:pos="1089"/>
        </w:tabs>
        <w:ind w:left="258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7DE216F4"/>
    <w:multiLevelType w:val="multilevel"/>
    <w:tmpl w:val="7DE216F4"/>
    <w:lvl w:ilvl="0">
      <w:start w:val="1"/>
      <w:numFmt w:val="decimal"/>
      <w:lvlText w:val="%1)"/>
      <w:lvlJc w:val="left"/>
      <w:pPr>
        <w:tabs>
          <w:tab w:val="num" w:pos="1449"/>
        </w:tabs>
        <w:ind w:left="2580" w:hanging="420"/>
      </w:pPr>
      <w:rPr>
        <w:rFonts w:hint="eastAsia"/>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071FB"/>
    <w:rsid w:val="00323B43"/>
    <w:rsid w:val="003D37D8"/>
    <w:rsid w:val="003F164F"/>
    <w:rsid w:val="00426133"/>
    <w:rsid w:val="004358AB"/>
    <w:rsid w:val="004B1431"/>
    <w:rsid w:val="0073563A"/>
    <w:rsid w:val="008B7726"/>
    <w:rsid w:val="008F0AC1"/>
    <w:rsid w:val="00986F8D"/>
    <w:rsid w:val="009F5438"/>
    <w:rsid w:val="00BB68E9"/>
    <w:rsid w:val="00C855BA"/>
    <w:rsid w:val="00D31D50"/>
    <w:rsid w:val="00D84CE0"/>
    <w:rsid w:val="00F542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71F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071FB"/>
    <w:rPr>
      <w:rFonts w:ascii="Tahoma" w:hAnsi="Tahoma"/>
      <w:sz w:val="18"/>
      <w:szCs w:val="18"/>
    </w:rPr>
  </w:style>
  <w:style w:type="paragraph" w:styleId="a4">
    <w:name w:val="footer"/>
    <w:basedOn w:val="a"/>
    <w:link w:val="Char0"/>
    <w:uiPriority w:val="99"/>
    <w:semiHidden/>
    <w:unhideWhenUsed/>
    <w:rsid w:val="000071FB"/>
    <w:pPr>
      <w:tabs>
        <w:tab w:val="center" w:pos="4153"/>
        <w:tab w:val="right" w:pos="8306"/>
      </w:tabs>
    </w:pPr>
    <w:rPr>
      <w:sz w:val="18"/>
      <w:szCs w:val="18"/>
    </w:rPr>
  </w:style>
  <w:style w:type="character" w:customStyle="1" w:styleId="Char0">
    <w:name w:val="页脚 Char"/>
    <w:basedOn w:val="a0"/>
    <w:link w:val="a4"/>
    <w:uiPriority w:val="99"/>
    <w:semiHidden/>
    <w:rsid w:val="000071FB"/>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152</Words>
  <Characters>869</Characters>
  <Application>Microsoft Office Word</Application>
  <DocSecurity>0</DocSecurity>
  <Lines>7</Lines>
  <Paragraphs>2</Paragraphs>
  <ScaleCrop>false</ScaleCrop>
  <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2008-09-11T17:20:00Z</dcterms:created>
  <dcterms:modified xsi:type="dcterms:W3CDTF">2015-03-08T01:38:00Z</dcterms:modified>
</cp:coreProperties>
</file>