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37" w:rsidRDefault="00052237" w:rsidP="00052237">
      <w:pPr>
        <w:jc w:val="center"/>
        <w:rPr>
          <w:rFonts w:hint="eastAsia"/>
          <w:b/>
          <w:sz w:val="32"/>
          <w:szCs w:val="32"/>
        </w:rPr>
      </w:pPr>
      <w:r>
        <w:rPr>
          <w:rFonts w:hAnsi="宋体"/>
          <w:b/>
          <w:bCs/>
          <w:sz w:val="32"/>
          <w:szCs w:val="32"/>
        </w:rPr>
        <w:t>《国际金融》</w:t>
      </w:r>
      <w:r>
        <w:rPr>
          <w:rFonts w:hint="eastAsia"/>
          <w:b/>
          <w:sz w:val="32"/>
          <w:szCs w:val="32"/>
        </w:rPr>
        <w:t>（补）</w:t>
      </w:r>
    </w:p>
    <w:p w:rsidR="009B25C0" w:rsidRDefault="009B25C0" w:rsidP="009B25C0">
      <w:pPr>
        <w:spacing w:line="360" w:lineRule="exact"/>
        <w:rPr>
          <w:b/>
          <w:bCs/>
          <w:szCs w:val="21"/>
        </w:rPr>
      </w:pPr>
      <w:r>
        <w:rPr>
          <w:rFonts w:hAnsi="宋体"/>
          <w:b/>
          <w:bCs/>
          <w:szCs w:val="21"/>
        </w:rPr>
        <w:t>一、单项选择题</w:t>
      </w:r>
    </w:p>
    <w:p w:rsidR="00052237" w:rsidRDefault="0027710A" w:rsidP="00052237">
      <w:pPr>
        <w:rPr>
          <w:rFonts w:hint="eastAsia"/>
          <w:sz w:val="32"/>
          <w:szCs w:val="32"/>
        </w:rPr>
      </w:pPr>
      <w:r>
        <w:rPr>
          <w:rFonts w:hint="eastAsia"/>
          <w:sz w:val="32"/>
          <w:szCs w:val="32"/>
        </w:rPr>
        <w:t xml:space="preserve">1-3.BBB   </w:t>
      </w:r>
      <w:r w:rsidR="00263941">
        <w:rPr>
          <w:rFonts w:hint="eastAsia"/>
          <w:sz w:val="32"/>
          <w:szCs w:val="32"/>
        </w:rPr>
        <w:t>6-10.DBAAC</w:t>
      </w:r>
    </w:p>
    <w:p w:rsidR="00F6517A" w:rsidRDefault="00F6517A" w:rsidP="00F6517A">
      <w:pPr>
        <w:pStyle w:val="a5"/>
        <w:spacing w:line="360" w:lineRule="exact"/>
        <w:ind w:left="310" w:hangingChars="147" w:hanging="310"/>
        <w:rPr>
          <w:rFonts w:ascii="Times New Roman" w:hAnsi="Times New Roman" w:cs="Times New Roman"/>
          <w:b/>
          <w:bCs/>
        </w:rPr>
      </w:pPr>
      <w:r>
        <w:rPr>
          <w:rFonts w:ascii="Times New Roman" w:hAnsi="宋体" w:cs="Times New Roman"/>
          <w:b/>
          <w:bCs/>
        </w:rPr>
        <w:t>二、多项选择题</w:t>
      </w:r>
    </w:p>
    <w:p w:rsidR="00263941" w:rsidRDefault="00F6517A" w:rsidP="00052237">
      <w:pPr>
        <w:rPr>
          <w:rFonts w:hint="eastAsia"/>
          <w:sz w:val="32"/>
          <w:szCs w:val="32"/>
        </w:rPr>
      </w:pPr>
      <w:r>
        <w:rPr>
          <w:rFonts w:hint="eastAsia"/>
          <w:sz w:val="32"/>
          <w:szCs w:val="32"/>
        </w:rPr>
        <w:t>11.AC   12.ACD   13.BDE   14.ABCD   15.ABC</w:t>
      </w:r>
    </w:p>
    <w:p w:rsidR="002841C0" w:rsidRDefault="002841C0" w:rsidP="002841C0">
      <w:pPr>
        <w:rPr>
          <w:b/>
          <w:szCs w:val="21"/>
        </w:rPr>
      </w:pPr>
      <w:r>
        <w:rPr>
          <w:rFonts w:hAnsi="宋体"/>
          <w:b/>
          <w:szCs w:val="21"/>
        </w:rPr>
        <w:t>三、名词解释</w:t>
      </w:r>
    </w:p>
    <w:p w:rsidR="002841C0" w:rsidRDefault="002841C0" w:rsidP="002841C0">
      <w:pPr>
        <w:autoSpaceDE w:val="0"/>
        <w:autoSpaceDN w:val="0"/>
        <w:ind w:firstLineChars="147" w:firstLine="470"/>
        <w:rPr>
          <w:b/>
          <w:color w:val="FF0000"/>
          <w:szCs w:val="21"/>
        </w:rPr>
      </w:pPr>
      <w:r>
        <w:rPr>
          <w:rFonts w:hint="eastAsia"/>
          <w:sz w:val="32"/>
          <w:szCs w:val="32"/>
        </w:rPr>
        <w:t>1.</w:t>
      </w:r>
      <w:r w:rsidRPr="002841C0">
        <w:rPr>
          <w:b/>
          <w:color w:val="FF0000"/>
          <w:szCs w:val="21"/>
        </w:rPr>
        <w:t xml:space="preserve"> </w:t>
      </w:r>
      <w:r>
        <w:rPr>
          <w:b/>
          <w:color w:val="FF0000"/>
          <w:szCs w:val="21"/>
        </w:rPr>
        <w:t>资本项目主要记录以下一些内容：（</w:t>
      </w:r>
      <w:r>
        <w:rPr>
          <w:b/>
          <w:color w:val="FF0000"/>
          <w:szCs w:val="21"/>
        </w:rPr>
        <w:t>1</w:t>
      </w:r>
      <w:r>
        <w:rPr>
          <w:b/>
          <w:color w:val="FF0000"/>
          <w:szCs w:val="21"/>
        </w:rPr>
        <w:t>）资本转移，主要包括债务减免和移民的转移支付；（</w:t>
      </w:r>
      <w:r>
        <w:rPr>
          <w:b/>
          <w:color w:val="FF0000"/>
          <w:szCs w:val="21"/>
        </w:rPr>
        <w:t>2</w:t>
      </w:r>
      <w:r>
        <w:rPr>
          <w:b/>
          <w:color w:val="FF0000"/>
          <w:szCs w:val="21"/>
        </w:rPr>
        <w:t>）非生产、非金融资产的收买与出售，包括不是由生产创造出来的有形资产（如土地和地下资产）和无形资产（专利、版权、商标、经销权等）的购买或出售。</w:t>
      </w:r>
    </w:p>
    <w:p w:rsidR="002841C0" w:rsidRDefault="002841C0" w:rsidP="002841C0">
      <w:pPr>
        <w:autoSpaceDE w:val="0"/>
        <w:autoSpaceDN w:val="0"/>
        <w:ind w:firstLineChars="147" w:firstLine="470"/>
        <w:rPr>
          <w:b/>
          <w:color w:val="FF0000"/>
          <w:szCs w:val="21"/>
        </w:rPr>
      </w:pPr>
      <w:r>
        <w:rPr>
          <w:rFonts w:hint="eastAsia"/>
          <w:sz w:val="32"/>
          <w:szCs w:val="32"/>
        </w:rPr>
        <w:t>2.</w:t>
      </w:r>
      <w:r w:rsidRPr="002841C0">
        <w:rPr>
          <w:b/>
          <w:color w:val="FF0000"/>
          <w:szCs w:val="21"/>
        </w:rPr>
        <w:t xml:space="preserve"> </w:t>
      </w:r>
      <w:r>
        <w:rPr>
          <w:b/>
          <w:color w:val="FF0000"/>
          <w:szCs w:val="21"/>
        </w:rPr>
        <w:t>在</w:t>
      </w:r>
      <w:r>
        <w:rPr>
          <w:b/>
          <w:color w:val="FF0000"/>
          <w:szCs w:val="21"/>
        </w:rPr>
        <w:t>IMF</w:t>
      </w:r>
      <w:r>
        <w:rPr>
          <w:b/>
          <w:color w:val="FF0000"/>
          <w:szCs w:val="21"/>
        </w:rPr>
        <w:t>的储备头寸又称为普通提款权，它是指会员国在</w:t>
      </w:r>
      <w:r>
        <w:rPr>
          <w:b/>
          <w:color w:val="FF0000"/>
          <w:szCs w:val="21"/>
        </w:rPr>
        <w:t>IMF</w:t>
      </w:r>
      <w:r>
        <w:rPr>
          <w:b/>
          <w:color w:val="FF0000"/>
          <w:szCs w:val="21"/>
        </w:rPr>
        <w:t>的普通账户中可以自由提取和使用的资产。普通提款权在</w:t>
      </w:r>
      <w:r>
        <w:rPr>
          <w:b/>
          <w:color w:val="FF0000"/>
          <w:szCs w:val="21"/>
        </w:rPr>
        <w:t>IMF</w:t>
      </w:r>
      <w:r>
        <w:rPr>
          <w:b/>
          <w:color w:val="FF0000"/>
          <w:szCs w:val="21"/>
        </w:rPr>
        <w:t>会员国国际储备资产总额中所占比重较小。</w:t>
      </w:r>
    </w:p>
    <w:p w:rsidR="002841C0" w:rsidRDefault="002841C0" w:rsidP="002841C0">
      <w:pPr>
        <w:spacing w:line="360" w:lineRule="exact"/>
        <w:rPr>
          <w:b/>
          <w:szCs w:val="21"/>
        </w:rPr>
      </w:pPr>
      <w:r>
        <w:rPr>
          <w:rFonts w:hAnsi="宋体"/>
          <w:b/>
          <w:szCs w:val="21"/>
        </w:rPr>
        <w:t>四、简答题</w:t>
      </w:r>
    </w:p>
    <w:p w:rsidR="002841C0" w:rsidRDefault="002841C0" w:rsidP="002841C0">
      <w:pPr>
        <w:rPr>
          <w:rFonts w:hint="eastAsia"/>
          <w:b/>
          <w:color w:val="FF0000"/>
          <w:szCs w:val="21"/>
        </w:rPr>
      </w:pPr>
      <w:r>
        <w:rPr>
          <w:rFonts w:hint="eastAsia"/>
          <w:sz w:val="32"/>
          <w:szCs w:val="32"/>
        </w:rPr>
        <w:t>2.</w:t>
      </w:r>
      <w:r w:rsidRPr="002841C0">
        <w:rPr>
          <w:b/>
          <w:color w:val="FF0000"/>
          <w:szCs w:val="21"/>
        </w:rPr>
        <w:t xml:space="preserve"> </w:t>
      </w:r>
      <w:r>
        <w:rPr>
          <w:b/>
          <w:color w:val="FF0000"/>
          <w:szCs w:val="21"/>
        </w:rPr>
        <w:t>答</w:t>
      </w:r>
      <w:r>
        <w:rPr>
          <w:b/>
          <w:color w:val="FF0000"/>
          <w:szCs w:val="21"/>
        </w:rPr>
        <w:t>:</w:t>
      </w:r>
      <w:r>
        <w:rPr>
          <w:b/>
          <w:color w:val="FF0000"/>
          <w:szCs w:val="21"/>
        </w:rPr>
        <w:t>物价现金流动机制理论是金本位制下国际收支的自动调节理论。提出者是</w:t>
      </w:r>
      <w:r>
        <w:rPr>
          <w:b/>
          <w:color w:val="FF0000"/>
          <w:szCs w:val="21"/>
        </w:rPr>
        <w:t>18</w:t>
      </w:r>
      <w:r>
        <w:rPr>
          <w:b/>
          <w:color w:val="FF0000"/>
          <w:szCs w:val="21"/>
        </w:rPr>
        <w:t>世纪英国的哲学家和经济学家大卫</w:t>
      </w:r>
      <w:r>
        <w:rPr>
          <w:b/>
          <w:color w:val="FF0000"/>
          <w:szCs w:val="21"/>
        </w:rPr>
        <w:t>·</w:t>
      </w:r>
      <w:r>
        <w:rPr>
          <w:b/>
          <w:color w:val="FF0000"/>
          <w:szCs w:val="21"/>
        </w:rPr>
        <w:t>休谟。休谟认为：当一国出现国际收支逆差时，由于黄金是最后的支付手段，因此必然造成该国黄金的外流，黄金的外流意味着该国货币供给量的减少，货币供给量的减少导致物价下跌，物价的下跌将使该国的出口产品价格下跌从而在国际市场上更具竞争力；与此同时进口产品的相对价格提高，从而导致进口减少。这样，国际收支恢复平衡。反之，如果该国国际收支出现顺差，则引起黄金的流入，导致该国物价上涨，物价的上涨将引起该国出口的减少和进口的增加，从而国际收支恢复平衡。</w:t>
      </w:r>
    </w:p>
    <w:p w:rsidR="002841C0" w:rsidRDefault="002841C0" w:rsidP="002841C0">
      <w:pPr>
        <w:rPr>
          <w:b/>
          <w:color w:val="FF0000"/>
          <w:szCs w:val="21"/>
        </w:rPr>
      </w:pPr>
      <w:r>
        <w:rPr>
          <w:rFonts w:hint="eastAsia"/>
          <w:b/>
          <w:color w:val="FF0000"/>
          <w:szCs w:val="21"/>
        </w:rPr>
        <w:t>3.</w:t>
      </w:r>
      <w:r w:rsidRPr="002841C0">
        <w:rPr>
          <w:b/>
          <w:color w:val="FF0000"/>
          <w:szCs w:val="21"/>
        </w:rPr>
        <w:t xml:space="preserve"> </w:t>
      </w:r>
      <w:r>
        <w:rPr>
          <w:b/>
          <w:color w:val="FF0000"/>
          <w:szCs w:val="21"/>
        </w:rPr>
        <w:t>答</w:t>
      </w:r>
      <w:r>
        <w:rPr>
          <w:b/>
          <w:color w:val="FF0000"/>
          <w:szCs w:val="21"/>
        </w:rPr>
        <w:t>:</w:t>
      </w:r>
      <w:r>
        <w:rPr>
          <w:b/>
          <w:color w:val="FF0000"/>
          <w:szCs w:val="21"/>
        </w:rPr>
        <w:t>国际储备水平管理的核心是确定一个适度规模的国际储备额度。</w:t>
      </w:r>
    </w:p>
    <w:p w:rsidR="002841C0" w:rsidRDefault="002841C0" w:rsidP="002841C0">
      <w:pPr>
        <w:autoSpaceDE w:val="0"/>
        <w:autoSpaceDN w:val="0"/>
        <w:ind w:firstLine="420"/>
        <w:rPr>
          <w:b/>
          <w:color w:val="FF0000"/>
          <w:szCs w:val="21"/>
        </w:rPr>
      </w:pPr>
      <w:r>
        <w:rPr>
          <w:b/>
          <w:color w:val="FF0000"/>
          <w:szCs w:val="21"/>
        </w:rPr>
        <w:t>比例分析法是指将一国的国际储备额同一些经济指标进行对比，比例分析法的代表人物是罗伯特</w:t>
      </w:r>
      <w:r>
        <w:rPr>
          <w:b/>
          <w:color w:val="FF0000"/>
          <w:szCs w:val="21"/>
        </w:rPr>
        <w:t>·</w:t>
      </w:r>
      <w:r>
        <w:rPr>
          <w:b/>
          <w:color w:val="FF0000"/>
          <w:szCs w:val="21"/>
        </w:rPr>
        <w:t>特里芬，他认为：一国国际储备的合理数量，约为该国年进口额的</w:t>
      </w:r>
      <w:r>
        <w:rPr>
          <w:b/>
          <w:color w:val="FF0000"/>
          <w:szCs w:val="21"/>
        </w:rPr>
        <w:t>20%</w:t>
      </w:r>
      <w:r>
        <w:rPr>
          <w:b/>
          <w:color w:val="FF0000"/>
          <w:szCs w:val="21"/>
        </w:rPr>
        <w:t>－</w:t>
      </w:r>
      <w:r>
        <w:rPr>
          <w:b/>
          <w:color w:val="FF0000"/>
          <w:szCs w:val="21"/>
        </w:rPr>
        <w:t>50%</w:t>
      </w:r>
      <w:r>
        <w:rPr>
          <w:b/>
          <w:color w:val="FF0000"/>
          <w:szCs w:val="21"/>
        </w:rPr>
        <w:t>。对大多数国家来说，保持储备额占进口额的</w:t>
      </w:r>
      <w:r>
        <w:rPr>
          <w:b/>
          <w:color w:val="FF0000"/>
          <w:szCs w:val="21"/>
        </w:rPr>
        <w:t>30%</w:t>
      </w:r>
      <w:r>
        <w:rPr>
          <w:b/>
          <w:color w:val="FF0000"/>
          <w:szCs w:val="21"/>
        </w:rPr>
        <w:t>－</w:t>
      </w:r>
      <w:r>
        <w:rPr>
          <w:b/>
          <w:color w:val="FF0000"/>
          <w:szCs w:val="21"/>
        </w:rPr>
        <w:t>40%</w:t>
      </w:r>
      <w:r>
        <w:rPr>
          <w:b/>
          <w:color w:val="FF0000"/>
          <w:szCs w:val="21"/>
        </w:rPr>
        <w:t>是比较合理的。通常认为，一个国家的国际储备应该满足该国</w:t>
      </w:r>
      <w:r>
        <w:rPr>
          <w:b/>
          <w:color w:val="FF0000"/>
          <w:szCs w:val="21"/>
        </w:rPr>
        <w:t>3</w:t>
      </w:r>
      <w:r>
        <w:rPr>
          <w:b/>
          <w:color w:val="FF0000"/>
          <w:szCs w:val="21"/>
        </w:rPr>
        <w:t>个月的进口用汇需要。</w:t>
      </w:r>
    </w:p>
    <w:p w:rsidR="002841C0" w:rsidRDefault="002841C0" w:rsidP="002841C0">
      <w:pPr>
        <w:rPr>
          <w:b/>
          <w:color w:val="FF0000"/>
          <w:szCs w:val="21"/>
        </w:rPr>
      </w:pPr>
      <w:r>
        <w:rPr>
          <w:b/>
          <w:color w:val="FF0000"/>
          <w:szCs w:val="21"/>
        </w:rPr>
        <w:t>比例分析法衡量储备的适度性虽然简单易行，然而由于考虑的变量过少，因此比例分析法只能作为衡量储备需求水平的粗略指标。一国在测算储备的适度水平时必须要同时考虑以下一些因素：持有国际储备的成本，对外贸易状况，借用国外资金的能力，</w:t>
      </w:r>
      <w:r>
        <w:rPr>
          <w:b/>
          <w:color w:val="FF0000"/>
          <w:szCs w:val="21"/>
        </w:rPr>
        <w:lastRenderedPageBreak/>
        <w:t>应付各种因素对国际收支冲击的需要，经济调整的强度和速度，对外贸和外汇的管制程度，汇率制度与外汇政策，货币的国际地位等。</w:t>
      </w:r>
    </w:p>
    <w:p w:rsidR="002841C0" w:rsidRDefault="002841C0" w:rsidP="002841C0">
      <w:pPr>
        <w:rPr>
          <w:b/>
          <w:color w:val="FF0000"/>
          <w:szCs w:val="21"/>
        </w:rPr>
      </w:pPr>
    </w:p>
    <w:p w:rsidR="00F6517A" w:rsidRDefault="002B10BF" w:rsidP="00052237">
      <w:pPr>
        <w:rPr>
          <w:rFonts w:hAnsi="宋体" w:hint="eastAsia"/>
          <w:b/>
          <w:szCs w:val="21"/>
        </w:rPr>
      </w:pPr>
      <w:r>
        <w:rPr>
          <w:rFonts w:hint="eastAsia"/>
          <w:sz w:val="32"/>
          <w:szCs w:val="32"/>
        </w:rPr>
        <w:t>六、</w:t>
      </w:r>
      <w:r>
        <w:rPr>
          <w:rFonts w:hAnsi="宋体"/>
          <w:b/>
          <w:szCs w:val="21"/>
        </w:rPr>
        <w:t>论述题</w:t>
      </w:r>
    </w:p>
    <w:p w:rsidR="002B10BF" w:rsidRDefault="002B10BF" w:rsidP="002B10BF">
      <w:pPr>
        <w:rPr>
          <w:b/>
          <w:color w:val="FF0000"/>
          <w:szCs w:val="21"/>
        </w:rPr>
      </w:pPr>
      <w:r>
        <w:rPr>
          <w:b/>
          <w:color w:val="FF0000"/>
          <w:szCs w:val="21"/>
        </w:rPr>
        <w:t>答</w:t>
      </w:r>
      <w:r>
        <w:rPr>
          <w:b/>
          <w:color w:val="FF0000"/>
          <w:szCs w:val="21"/>
        </w:rPr>
        <w:t>:</w:t>
      </w:r>
      <w:r>
        <w:rPr>
          <w:b/>
          <w:color w:val="FF0000"/>
          <w:szCs w:val="21"/>
        </w:rPr>
        <w:t>第一代货币危机模型，又称为</w:t>
      </w:r>
      <w:r>
        <w:rPr>
          <w:b/>
          <w:color w:val="FF0000"/>
          <w:szCs w:val="21"/>
        </w:rPr>
        <w:t xml:space="preserve"> "</w:t>
      </w:r>
      <w:r>
        <w:rPr>
          <w:b/>
          <w:color w:val="FF0000"/>
          <w:szCs w:val="21"/>
        </w:rPr>
        <w:t>克鲁格曼</w:t>
      </w:r>
      <w:r>
        <w:rPr>
          <w:b/>
          <w:color w:val="FF0000"/>
          <w:szCs w:val="21"/>
        </w:rPr>
        <w:t>――</w:t>
      </w:r>
      <w:r>
        <w:rPr>
          <w:b/>
          <w:color w:val="FF0000"/>
          <w:szCs w:val="21"/>
        </w:rPr>
        <w:t>弗拉德</w:t>
      </w:r>
      <w:r>
        <w:rPr>
          <w:b/>
          <w:color w:val="FF0000"/>
          <w:szCs w:val="21"/>
        </w:rPr>
        <w:t>――</w:t>
      </w:r>
      <w:r>
        <w:rPr>
          <w:b/>
          <w:color w:val="FF0000"/>
          <w:szCs w:val="21"/>
        </w:rPr>
        <w:t>戈博模型</w:t>
      </w:r>
      <w:r>
        <w:rPr>
          <w:b/>
          <w:color w:val="FF0000"/>
          <w:szCs w:val="21"/>
        </w:rPr>
        <w:t>"</w:t>
      </w:r>
      <w:r>
        <w:rPr>
          <w:b/>
          <w:color w:val="FF0000"/>
          <w:szCs w:val="21"/>
        </w:rPr>
        <w:t>。其主要特点有：</w:t>
      </w:r>
    </w:p>
    <w:p w:rsidR="002B10BF" w:rsidRDefault="002B10BF" w:rsidP="002B10BF">
      <w:pPr>
        <w:autoSpaceDE w:val="0"/>
        <w:autoSpaceDN w:val="0"/>
        <w:ind w:firstLine="420"/>
        <w:rPr>
          <w:b/>
          <w:color w:val="FF0000"/>
          <w:szCs w:val="21"/>
        </w:rPr>
      </w:pPr>
      <w:r>
        <w:rPr>
          <w:b/>
          <w:color w:val="FF0000"/>
          <w:szCs w:val="21"/>
        </w:rPr>
        <w:t>（</w:t>
      </w:r>
      <w:r>
        <w:rPr>
          <w:b/>
          <w:color w:val="FF0000"/>
          <w:szCs w:val="21"/>
        </w:rPr>
        <w:t>1</w:t>
      </w:r>
      <w:r>
        <w:rPr>
          <w:b/>
          <w:color w:val="FF0000"/>
          <w:szCs w:val="21"/>
        </w:rPr>
        <w:t>）在货币危机成因上，该理论认为：由于政府的宏观经济政策与固定汇率的维持存在着矛盾与冲突，当政府采取扩张性货币信贷政策和巨额财政赤字时，固定汇率必然无法维系，引发危机。</w:t>
      </w:r>
    </w:p>
    <w:p w:rsidR="002B10BF" w:rsidRDefault="002B10BF" w:rsidP="002B10BF">
      <w:pPr>
        <w:autoSpaceDE w:val="0"/>
        <w:autoSpaceDN w:val="0"/>
        <w:ind w:firstLine="420"/>
        <w:rPr>
          <w:b/>
          <w:color w:val="FF0000"/>
          <w:szCs w:val="21"/>
        </w:rPr>
      </w:pPr>
      <w:r>
        <w:rPr>
          <w:b/>
          <w:color w:val="FF0000"/>
          <w:szCs w:val="21"/>
        </w:rPr>
        <w:t>（</w:t>
      </w:r>
      <w:r>
        <w:rPr>
          <w:b/>
          <w:color w:val="FF0000"/>
          <w:szCs w:val="21"/>
        </w:rPr>
        <w:t>2</w:t>
      </w:r>
      <w:r>
        <w:rPr>
          <w:b/>
          <w:color w:val="FF0000"/>
          <w:szCs w:val="21"/>
        </w:rPr>
        <w:t>）货币危机的具体过程。为弥补财政赤字，货币当局会不加控制地持续发行货币，于是内在地形成本币贬值、外币升值的压力。在无法控制基础货币国内供给因素时，中央银行只能进入外汇市场干预，通过外汇储备来实现内部均衡目标。当投机者意识到固定汇率水平已经偏离两种货币实际价值的比价时，就会大量增加外币多头头寸。在理论上，当货币当局为维持固定汇率会无限地抛出外汇，投机者为牟取投机利润能够无限地增持外币资产时，官方外汇储备的数量多少就成为决定汇率平价能否保持的关键。当官方外汇储备逐渐枯竭时，就是外币突破性升值本币突破性贬值之时，货币危机就此爆发。</w:t>
      </w:r>
    </w:p>
    <w:p w:rsidR="002B10BF" w:rsidRDefault="002B10BF" w:rsidP="002B10BF">
      <w:pPr>
        <w:rPr>
          <w:rFonts w:hint="eastAsia"/>
          <w:b/>
          <w:color w:val="FF0000"/>
          <w:szCs w:val="21"/>
        </w:rPr>
      </w:pPr>
      <w:r>
        <w:rPr>
          <w:b/>
          <w:color w:val="FF0000"/>
          <w:szCs w:val="21"/>
        </w:rPr>
        <w:t>（</w:t>
      </w:r>
      <w:r>
        <w:rPr>
          <w:b/>
          <w:color w:val="FF0000"/>
          <w:szCs w:val="21"/>
        </w:rPr>
        <w:t>3</w:t>
      </w:r>
      <w:r>
        <w:rPr>
          <w:b/>
          <w:color w:val="FF0000"/>
          <w:szCs w:val="21"/>
        </w:rPr>
        <w:t>）在政策含义上，其主要结论是：紧缩性财政货币政策是防止货币危机发生的关键。强调：宏观基本因素的不协调是导致危机爆发的内在原因，投机性攻击只是外在条件。因此，防范危机的主要思路不能仅仅采取一些限制资本流动的暂时性稳定汇率的措施，而是采取紧缩性的货币财政政策来改善内部经济运行情况。</w:t>
      </w:r>
    </w:p>
    <w:p w:rsidR="002B10BF" w:rsidRDefault="002B10BF" w:rsidP="00052237">
      <w:pPr>
        <w:rPr>
          <w:sz w:val="32"/>
          <w:szCs w:val="32"/>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B76" w:rsidRDefault="00A84B76" w:rsidP="00052237">
      <w:pPr>
        <w:spacing w:after="0"/>
      </w:pPr>
      <w:r>
        <w:separator/>
      </w:r>
    </w:p>
  </w:endnote>
  <w:endnote w:type="continuationSeparator" w:id="0">
    <w:p w:rsidR="00A84B76" w:rsidRDefault="00A84B76" w:rsidP="000522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B76" w:rsidRDefault="00A84B76" w:rsidP="00052237">
      <w:pPr>
        <w:spacing w:after="0"/>
      </w:pPr>
      <w:r>
        <w:separator/>
      </w:r>
    </w:p>
  </w:footnote>
  <w:footnote w:type="continuationSeparator" w:id="0">
    <w:p w:rsidR="00A84B76" w:rsidRDefault="00A84B76" w:rsidP="0005223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52237"/>
    <w:rsid w:val="00263941"/>
    <w:rsid w:val="0027710A"/>
    <w:rsid w:val="002841C0"/>
    <w:rsid w:val="002B10BF"/>
    <w:rsid w:val="00323B43"/>
    <w:rsid w:val="003D37D8"/>
    <w:rsid w:val="00426133"/>
    <w:rsid w:val="004358AB"/>
    <w:rsid w:val="008B7726"/>
    <w:rsid w:val="009B25C0"/>
    <w:rsid w:val="00A84B76"/>
    <w:rsid w:val="00C14063"/>
    <w:rsid w:val="00D31D50"/>
    <w:rsid w:val="00F651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23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52237"/>
    <w:rPr>
      <w:rFonts w:ascii="Tahoma" w:hAnsi="Tahoma"/>
      <w:sz w:val="18"/>
      <w:szCs w:val="18"/>
    </w:rPr>
  </w:style>
  <w:style w:type="paragraph" w:styleId="a4">
    <w:name w:val="footer"/>
    <w:basedOn w:val="a"/>
    <w:link w:val="Char0"/>
    <w:uiPriority w:val="99"/>
    <w:semiHidden/>
    <w:unhideWhenUsed/>
    <w:rsid w:val="00052237"/>
    <w:pPr>
      <w:tabs>
        <w:tab w:val="center" w:pos="4153"/>
        <w:tab w:val="right" w:pos="8306"/>
      </w:tabs>
    </w:pPr>
    <w:rPr>
      <w:sz w:val="18"/>
      <w:szCs w:val="18"/>
    </w:rPr>
  </w:style>
  <w:style w:type="character" w:customStyle="1" w:styleId="Char0">
    <w:name w:val="页脚 Char"/>
    <w:basedOn w:val="a0"/>
    <w:link w:val="a4"/>
    <w:uiPriority w:val="99"/>
    <w:semiHidden/>
    <w:rsid w:val="00052237"/>
    <w:rPr>
      <w:rFonts w:ascii="Tahoma" w:hAnsi="Tahoma"/>
      <w:sz w:val="18"/>
      <w:szCs w:val="18"/>
    </w:rPr>
  </w:style>
  <w:style w:type="paragraph" w:styleId="a5">
    <w:name w:val="Plain Text"/>
    <w:basedOn w:val="a"/>
    <w:link w:val="Char1"/>
    <w:rsid w:val="00F6517A"/>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rsid w:val="00F6517A"/>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2015-03-08T03:43:00Z</dcterms:modified>
</cp:coreProperties>
</file>