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EBE" w:rsidRDefault="001A4EBE" w:rsidP="001A4EBE">
      <w:pPr>
        <w:widowControl w:val="0"/>
        <w:spacing w:after="0" w:line="360" w:lineRule="auto"/>
        <w:jc w:val="center"/>
        <w:rPr>
          <w:rFonts w:ascii="宋体" w:hAnsi="宋体" w:hint="eastAsia"/>
          <w:b/>
          <w:bCs/>
          <w:sz w:val="32"/>
          <w:szCs w:val="32"/>
        </w:rPr>
      </w:pPr>
      <w:r>
        <w:rPr>
          <w:rFonts w:ascii="宋体" w:hAnsi="宋体" w:hint="eastAsia"/>
          <w:b/>
          <w:bCs/>
          <w:sz w:val="32"/>
          <w:szCs w:val="32"/>
        </w:rPr>
        <w:t>《会计制度设计》（补）</w:t>
      </w:r>
    </w:p>
    <w:p w:rsidR="00053B85" w:rsidRDefault="00053B85" w:rsidP="00053B85">
      <w:pPr>
        <w:widowControl w:val="0"/>
        <w:spacing w:after="0" w:line="360" w:lineRule="auto"/>
        <w:rPr>
          <w:b/>
          <w:color w:val="000000"/>
          <w:szCs w:val="21"/>
        </w:rPr>
      </w:pPr>
      <w:r>
        <w:rPr>
          <w:rFonts w:hAnsi="宋体"/>
          <w:b/>
          <w:bCs/>
          <w:color w:val="000000"/>
        </w:rPr>
        <w:t>一</w:t>
      </w:r>
      <w:r>
        <w:rPr>
          <w:rFonts w:hAnsi="宋体" w:hint="eastAsia"/>
          <w:b/>
          <w:bCs/>
          <w:color w:val="000000"/>
        </w:rPr>
        <w:t>、</w:t>
      </w:r>
      <w:r>
        <w:rPr>
          <w:rFonts w:hAnsi="宋体"/>
          <w:b/>
        </w:rPr>
        <w:t>简答题</w:t>
      </w:r>
    </w:p>
    <w:p w:rsidR="00053B85" w:rsidRPr="00053B85" w:rsidRDefault="00053B85" w:rsidP="00053B85">
      <w:pPr>
        <w:widowControl w:val="0"/>
        <w:spacing w:after="0" w:line="360" w:lineRule="auto"/>
        <w:rPr>
          <w:szCs w:val="17"/>
          <w:lang w:val="zh-CN"/>
        </w:rPr>
      </w:pPr>
      <w:r>
        <w:rPr>
          <w:szCs w:val="21"/>
        </w:rPr>
        <w:t>1</w:t>
      </w:r>
      <w:r>
        <w:rPr>
          <w:rFonts w:hAnsi="宋体"/>
          <w:szCs w:val="21"/>
        </w:rPr>
        <w:t>．</w:t>
      </w:r>
      <w:r>
        <w:rPr>
          <w:rFonts w:hint="eastAsia"/>
          <w:szCs w:val="17"/>
          <w:lang w:val="zh-CN"/>
        </w:rPr>
        <w:t>答：</w:t>
      </w:r>
      <w:r>
        <w:rPr>
          <w:rFonts w:ascii="宋体" w:hAnsi="宋体" w:hint="eastAsia"/>
          <w:color w:val="FF0000"/>
          <w:szCs w:val="21"/>
        </w:rPr>
        <w:t>（</w:t>
      </w:r>
      <w:r>
        <w:rPr>
          <w:rFonts w:ascii="宋体" w:hAnsi="宋体"/>
          <w:color w:val="FF0000"/>
          <w:szCs w:val="21"/>
        </w:rPr>
        <w:t>1</w:t>
      </w:r>
      <w:r>
        <w:rPr>
          <w:rFonts w:ascii="宋体" w:hAnsi="宋体" w:hint="eastAsia"/>
          <w:color w:val="FF0000"/>
          <w:szCs w:val="21"/>
        </w:rPr>
        <w:t>）报表内容有较强的针对性：其使用者均为本单位管理部门或管理人员，是为了特定的管理要求设计的。</w:t>
      </w:r>
    </w:p>
    <w:p w:rsidR="00053B85" w:rsidRDefault="00053B85" w:rsidP="00053B85">
      <w:pPr>
        <w:widowControl w:val="0"/>
        <w:spacing w:after="0" w:line="360" w:lineRule="auto"/>
        <w:ind w:firstLine="420"/>
        <w:rPr>
          <w:rFonts w:ascii="宋体" w:hAnsi="宋体"/>
          <w:color w:val="FF0000"/>
          <w:szCs w:val="21"/>
        </w:rPr>
      </w:pPr>
      <w:r>
        <w:rPr>
          <w:rFonts w:ascii="宋体" w:hAnsi="宋体" w:hint="eastAsia"/>
          <w:color w:val="FF0000"/>
          <w:szCs w:val="21"/>
        </w:rPr>
        <w:t>（</w:t>
      </w:r>
      <w:r>
        <w:rPr>
          <w:rFonts w:ascii="宋体" w:hAnsi="宋体"/>
          <w:color w:val="FF0000"/>
          <w:szCs w:val="21"/>
        </w:rPr>
        <w:t>2</w:t>
      </w:r>
      <w:r>
        <w:rPr>
          <w:rFonts w:ascii="宋体" w:hAnsi="宋体" w:hint="eastAsia"/>
          <w:color w:val="FF0000"/>
          <w:szCs w:val="21"/>
        </w:rPr>
        <w:t>）报表指标的多样性：对外报表采用的指标都是价值指标，而对内报表是为企业的经营管理服务的，其使用重点是通过对报表指标的分析、比较和评价，检查计划和预算执行情况和结果，分析计划和预算执行中存在的问题和不足，总结计划和预算执行过程中的经验，以便提高企业管理水平。因此，采用的指标不仅有价值指标、绝对数指标和定量指标，而且还有实物指标、相对数指标和定性指标。</w:t>
      </w:r>
    </w:p>
    <w:p w:rsidR="00053B85" w:rsidRDefault="00053B85" w:rsidP="00053B85">
      <w:pPr>
        <w:widowControl w:val="0"/>
        <w:spacing w:after="0" w:line="360" w:lineRule="auto"/>
        <w:ind w:firstLine="420"/>
        <w:rPr>
          <w:rFonts w:ascii="宋体" w:hAnsi="宋体"/>
          <w:color w:val="FF0000"/>
          <w:szCs w:val="21"/>
        </w:rPr>
      </w:pPr>
      <w:r>
        <w:rPr>
          <w:rFonts w:ascii="宋体" w:hAnsi="宋体" w:hint="eastAsia"/>
          <w:color w:val="FF0000"/>
          <w:szCs w:val="21"/>
        </w:rPr>
        <w:t>（</w:t>
      </w:r>
      <w:r>
        <w:rPr>
          <w:rFonts w:ascii="宋体" w:hAnsi="宋体"/>
          <w:color w:val="FF0000"/>
          <w:szCs w:val="21"/>
        </w:rPr>
        <w:t>3</w:t>
      </w:r>
      <w:r>
        <w:rPr>
          <w:rFonts w:ascii="宋体" w:hAnsi="宋体" w:hint="eastAsia"/>
          <w:color w:val="FF0000"/>
          <w:szCs w:val="21"/>
        </w:rPr>
        <w:t>）编报期限的灵活性：对外报表具有最后限制期限。对内报表根据报表的使用要求和报送对象，既可按年、季、月定期编报，也可根据企业经营和内部管理的需要不定期编报。</w:t>
      </w:r>
    </w:p>
    <w:p w:rsidR="00053B85" w:rsidRDefault="00053B85" w:rsidP="00053B85">
      <w:pPr>
        <w:widowControl w:val="0"/>
        <w:spacing w:after="0" w:line="360" w:lineRule="auto"/>
        <w:ind w:firstLine="420"/>
        <w:rPr>
          <w:rFonts w:ascii="宋体" w:hAnsi="宋体" w:hint="eastAsia"/>
          <w:color w:val="FF0000"/>
          <w:szCs w:val="21"/>
        </w:rPr>
      </w:pPr>
      <w:r>
        <w:rPr>
          <w:rFonts w:ascii="宋体" w:hAnsi="宋体" w:hint="eastAsia"/>
          <w:color w:val="FF0000"/>
          <w:szCs w:val="21"/>
        </w:rPr>
        <w:t>（</w:t>
      </w:r>
      <w:r>
        <w:rPr>
          <w:rFonts w:ascii="宋体" w:hAnsi="宋体"/>
          <w:color w:val="FF0000"/>
          <w:szCs w:val="21"/>
        </w:rPr>
        <w:t>4</w:t>
      </w:r>
      <w:r>
        <w:rPr>
          <w:rFonts w:ascii="宋体" w:hAnsi="宋体" w:hint="eastAsia"/>
          <w:color w:val="FF0000"/>
          <w:szCs w:val="21"/>
        </w:rPr>
        <w:t>）报表种类的不固定性：对内报表因管理需要不同，报表的种类也有所不同。</w:t>
      </w:r>
    </w:p>
    <w:p w:rsidR="00E9249A" w:rsidRDefault="00E9249A" w:rsidP="00E9249A">
      <w:pPr>
        <w:widowControl w:val="0"/>
        <w:spacing w:after="0" w:line="360" w:lineRule="auto"/>
        <w:ind w:firstLineChars="200" w:firstLine="440"/>
        <w:rPr>
          <w:rFonts w:ascii="宋体" w:hAnsi="宋体"/>
          <w:color w:val="FF0000"/>
          <w:szCs w:val="21"/>
        </w:rPr>
      </w:pPr>
      <w:r>
        <w:rPr>
          <w:rFonts w:ascii="宋体" w:hAnsi="宋体" w:hint="eastAsia"/>
          <w:color w:val="FF0000"/>
          <w:szCs w:val="21"/>
          <w:lang w:val="zh-CN"/>
        </w:rPr>
        <w:t>2.</w:t>
      </w:r>
      <w:r>
        <w:rPr>
          <w:rFonts w:ascii="宋体" w:hAnsi="宋体" w:hint="eastAsia"/>
          <w:color w:val="FF0000"/>
          <w:szCs w:val="21"/>
          <w:lang w:val="zh-CN"/>
        </w:rPr>
        <w:t>答：</w:t>
      </w:r>
      <w:r>
        <w:rPr>
          <w:rFonts w:ascii="宋体" w:hAnsi="宋体" w:hint="eastAsia"/>
          <w:color w:val="FF0000"/>
          <w:szCs w:val="21"/>
        </w:rPr>
        <w:t>（</w:t>
      </w:r>
      <w:r>
        <w:rPr>
          <w:rFonts w:ascii="宋体" w:hAnsi="宋体"/>
          <w:color w:val="FF0000"/>
          <w:szCs w:val="21"/>
        </w:rPr>
        <w:t>1</w:t>
      </w:r>
      <w:r>
        <w:rPr>
          <w:rFonts w:ascii="宋体" w:hAnsi="宋体" w:hint="eastAsia"/>
          <w:color w:val="FF0000"/>
          <w:szCs w:val="21"/>
        </w:rPr>
        <w:t>）建立专人专库保管制度。由专人专职负责各种存货的保管，通过仓库“台账”记录各种存货的实物数量变化。</w:t>
      </w:r>
    </w:p>
    <w:p w:rsidR="00E9249A" w:rsidRDefault="00E9249A" w:rsidP="00E9249A">
      <w:pPr>
        <w:widowControl w:val="0"/>
        <w:spacing w:after="0" w:line="360" w:lineRule="auto"/>
        <w:ind w:firstLine="420"/>
        <w:rPr>
          <w:rFonts w:ascii="宋体" w:hAnsi="宋体"/>
          <w:color w:val="FF0000"/>
          <w:szCs w:val="21"/>
        </w:rPr>
      </w:pPr>
      <w:r>
        <w:rPr>
          <w:rFonts w:ascii="宋体" w:hAnsi="宋体" w:hint="eastAsia"/>
          <w:color w:val="FF0000"/>
          <w:szCs w:val="21"/>
        </w:rPr>
        <w:t>（</w:t>
      </w:r>
      <w:r>
        <w:rPr>
          <w:rFonts w:ascii="宋体" w:hAnsi="宋体"/>
          <w:color w:val="FF0000"/>
          <w:szCs w:val="21"/>
        </w:rPr>
        <w:t>2</w:t>
      </w:r>
      <w:r>
        <w:rPr>
          <w:rFonts w:ascii="宋体" w:hAnsi="宋体" w:hint="eastAsia"/>
          <w:color w:val="FF0000"/>
          <w:szCs w:val="21"/>
        </w:rPr>
        <w:t>）采用永续盘存制。这不仅有利于加强会计人员与财物保管人员之间的相互制约，防止资产盘存业务处理中的弊错，保护财产物资的安全完整，而且能够促使保管人员尽职尽责，提高财产管理水平。</w:t>
      </w:r>
    </w:p>
    <w:p w:rsidR="00E9249A" w:rsidRDefault="00E9249A" w:rsidP="00E9249A">
      <w:pPr>
        <w:widowControl w:val="0"/>
        <w:spacing w:after="0" w:line="360" w:lineRule="auto"/>
        <w:ind w:firstLine="420"/>
        <w:rPr>
          <w:rFonts w:ascii="宋体" w:hAnsi="宋体"/>
          <w:color w:val="FF0000"/>
          <w:szCs w:val="21"/>
        </w:rPr>
      </w:pPr>
      <w:r>
        <w:rPr>
          <w:rFonts w:ascii="宋体" w:hAnsi="宋体" w:hint="eastAsia"/>
          <w:color w:val="FF0000"/>
          <w:szCs w:val="21"/>
        </w:rPr>
        <w:t>（</w:t>
      </w:r>
      <w:r>
        <w:rPr>
          <w:rFonts w:ascii="宋体" w:hAnsi="宋体"/>
          <w:color w:val="FF0000"/>
          <w:szCs w:val="21"/>
        </w:rPr>
        <w:t>3</w:t>
      </w:r>
      <w:r>
        <w:rPr>
          <w:rFonts w:ascii="宋体" w:hAnsi="宋体" w:hint="eastAsia"/>
          <w:color w:val="FF0000"/>
          <w:szCs w:val="21"/>
        </w:rPr>
        <w:t>）严格财产清查制度。对各种存货应当进行定期或不定期的清查，使之经常化、规范化、制度化。</w:t>
      </w:r>
    </w:p>
    <w:p w:rsidR="00E9249A" w:rsidRDefault="00E9249A" w:rsidP="00E9249A">
      <w:pPr>
        <w:widowControl w:val="0"/>
        <w:spacing w:after="0" w:line="360" w:lineRule="auto"/>
        <w:ind w:firstLineChars="200" w:firstLine="440"/>
        <w:rPr>
          <w:rFonts w:hint="eastAsia"/>
          <w:szCs w:val="21"/>
        </w:rPr>
      </w:pPr>
      <w:r>
        <w:rPr>
          <w:rFonts w:ascii="宋体" w:hAnsi="宋体" w:hint="eastAsia"/>
          <w:color w:val="FF0000"/>
          <w:szCs w:val="21"/>
        </w:rPr>
        <w:t>（</w:t>
      </w:r>
      <w:r>
        <w:rPr>
          <w:rFonts w:ascii="宋体" w:hAnsi="宋体"/>
          <w:color w:val="FF0000"/>
          <w:szCs w:val="21"/>
        </w:rPr>
        <w:t>4</w:t>
      </w:r>
      <w:r>
        <w:rPr>
          <w:rFonts w:ascii="宋体" w:hAnsi="宋体" w:hint="eastAsia"/>
          <w:color w:val="FF0000"/>
          <w:szCs w:val="21"/>
        </w:rPr>
        <w:t>）严把“入库”、“出库”两个关口。把好入库关，能够使资产盘存业务有一个良好的开端；把好出库关，能够有效地防止资产盘存业务中的漏洞。</w:t>
      </w:r>
    </w:p>
    <w:p w:rsidR="00B3434F" w:rsidRDefault="00B3434F" w:rsidP="00B3434F">
      <w:pPr>
        <w:widowControl w:val="0"/>
        <w:spacing w:after="0" w:line="360" w:lineRule="auto"/>
        <w:rPr>
          <w:b/>
        </w:rPr>
      </w:pPr>
      <w:r>
        <w:rPr>
          <w:rFonts w:hAnsi="宋体"/>
          <w:b/>
        </w:rPr>
        <w:t>二</w:t>
      </w:r>
      <w:r>
        <w:rPr>
          <w:rFonts w:hAnsi="宋体" w:hint="eastAsia"/>
          <w:b/>
        </w:rPr>
        <w:t>、</w:t>
      </w:r>
      <w:r>
        <w:rPr>
          <w:rFonts w:hAnsi="宋体"/>
          <w:b/>
        </w:rPr>
        <w:t>论述题</w:t>
      </w:r>
    </w:p>
    <w:p w:rsidR="00B3434F" w:rsidRDefault="00B3434F" w:rsidP="00B3434F">
      <w:pPr>
        <w:widowControl w:val="0"/>
        <w:spacing w:after="0" w:line="360" w:lineRule="auto"/>
        <w:rPr>
          <w:rFonts w:ascii="宋体" w:hAnsi="宋体"/>
          <w:color w:val="FF0000"/>
          <w:szCs w:val="21"/>
        </w:rPr>
      </w:pPr>
      <w:r>
        <w:rPr>
          <w:rFonts w:ascii="宋体" w:hAnsi="宋体" w:hint="eastAsia"/>
          <w:color w:val="FF0000"/>
          <w:szCs w:val="21"/>
          <w:lang w:val="zh-CN"/>
        </w:rPr>
        <w:t>1.</w:t>
      </w:r>
      <w:r w:rsidRPr="00B3434F">
        <w:rPr>
          <w:rFonts w:ascii="宋体" w:hAnsi="宋体" w:hint="eastAsia"/>
          <w:color w:val="FF0000"/>
          <w:szCs w:val="21"/>
        </w:rPr>
        <w:t xml:space="preserve"> </w:t>
      </w:r>
      <w:r>
        <w:rPr>
          <w:rFonts w:ascii="宋体" w:hAnsi="宋体" w:hint="eastAsia"/>
          <w:color w:val="FF0000"/>
          <w:szCs w:val="21"/>
        </w:rPr>
        <w:t>其一是商品化软件公司对开发过程的自我控制，以保证软件功能符合财政部门的要</w:t>
      </w:r>
      <w:r>
        <w:rPr>
          <w:rFonts w:ascii="宋体" w:hAnsi="宋体" w:hint="eastAsia"/>
          <w:color w:val="FF0000"/>
          <w:szCs w:val="21"/>
        </w:rPr>
        <w:lastRenderedPageBreak/>
        <w:t>求，并提供必要的供审计使用的接口，以方便用户和审计部门对系统的输出进行审计。如果因为软件本身的问题造成用户的损失，则软件公司应负相应的法律和经济责任。</w:t>
      </w:r>
    </w:p>
    <w:p w:rsidR="00B3434F" w:rsidRDefault="00B3434F" w:rsidP="00B3434F">
      <w:pPr>
        <w:widowControl w:val="0"/>
        <w:spacing w:after="0" w:line="360" w:lineRule="auto"/>
        <w:ind w:firstLine="420"/>
        <w:rPr>
          <w:rFonts w:ascii="宋体" w:hAnsi="宋体"/>
          <w:color w:val="FF0000"/>
          <w:szCs w:val="21"/>
          <w:lang w:val="zh-CN"/>
        </w:rPr>
      </w:pPr>
      <w:r>
        <w:rPr>
          <w:rFonts w:ascii="宋体" w:hAnsi="宋体" w:hint="eastAsia"/>
          <w:color w:val="FF0000"/>
          <w:szCs w:val="21"/>
        </w:rPr>
        <w:t>其二是用户在选择商品化财会软件时应对软件的功能进行必要的审查，以检验其是否符合财政部关于会计核算软件基本功能规范的要求。对于曾经经过财政部门审批且目前市场占有率较高的知名的财务软件如：用友、金蝶、新中大、安易等软件一般不会存在问题，但对软件是否存在诸如“反记账”、</w:t>
      </w:r>
      <w:r>
        <w:rPr>
          <w:rFonts w:ascii="宋体" w:hAnsi="宋体"/>
          <w:color w:val="FF0000"/>
          <w:szCs w:val="21"/>
        </w:rPr>
        <w:t>"</w:t>
      </w:r>
      <w:r>
        <w:rPr>
          <w:rFonts w:ascii="宋体" w:hAnsi="宋体" w:hint="eastAsia"/>
          <w:color w:val="FF0000"/>
          <w:szCs w:val="21"/>
        </w:rPr>
        <w:t>反结账</w:t>
      </w:r>
      <w:r>
        <w:rPr>
          <w:rFonts w:ascii="宋体" w:hAnsi="宋体"/>
          <w:color w:val="FF0000"/>
          <w:szCs w:val="21"/>
        </w:rPr>
        <w:t>"</w:t>
      </w:r>
      <w:r>
        <w:rPr>
          <w:rFonts w:ascii="宋体" w:hAnsi="宋体" w:hint="eastAsia"/>
          <w:color w:val="FF0000"/>
          <w:szCs w:val="21"/>
        </w:rPr>
        <w:t>等非法功能、系统的控制功能是否完备，应进行仔细的检查。对存在的问题或者要求软件公司进行改进，或者制定相应的管理制度进行控制。用户尤其不能出于自身的种种考虑，对软件公司的产品提出设置非法功能的要求。</w:t>
      </w:r>
    </w:p>
    <w:p w:rsidR="00A36713" w:rsidRDefault="00A36713" w:rsidP="00A36713">
      <w:pPr>
        <w:widowControl w:val="0"/>
        <w:spacing w:after="0" w:line="360" w:lineRule="auto"/>
        <w:rPr>
          <w:b/>
        </w:rPr>
      </w:pPr>
      <w:r>
        <w:rPr>
          <w:rFonts w:hAnsi="宋体"/>
          <w:b/>
        </w:rPr>
        <w:t>三</w:t>
      </w:r>
      <w:r>
        <w:rPr>
          <w:rFonts w:hAnsi="宋体" w:hint="eastAsia"/>
          <w:b/>
        </w:rPr>
        <w:t>、</w:t>
      </w:r>
      <w:r>
        <w:rPr>
          <w:rFonts w:hAnsi="宋体"/>
          <w:b/>
        </w:rPr>
        <w:t>实务设计题</w:t>
      </w:r>
    </w:p>
    <w:p w:rsidR="00A36713" w:rsidRDefault="00A36713" w:rsidP="00A36713">
      <w:pPr>
        <w:widowControl w:val="0"/>
        <w:spacing w:after="0" w:line="360" w:lineRule="auto"/>
        <w:rPr>
          <w:rFonts w:ascii="宋体" w:hAnsi="宋体"/>
          <w:color w:val="FF0000"/>
          <w:szCs w:val="21"/>
        </w:rPr>
      </w:pPr>
      <w:r>
        <w:rPr>
          <w:rFonts w:ascii="宋体" w:hAnsi="宋体" w:hint="eastAsia"/>
          <w:color w:val="FF0000"/>
          <w:szCs w:val="21"/>
          <w:lang w:val="zh-CN"/>
        </w:rPr>
        <w:t>1.</w:t>
      </w:r>
      <w:r w:rsidRPr="00A36713">
        <w:rPr>
          <w:rFonts w:ascii="宋体" w:hAnsi="宋体" w:hint="eastAsia"/>
          <w:color w:val="FF0000"/>
          <w:szCs w:val="21"/>
        </w:rPr>
        <w:t xml:space="preserve"> </w:t>
      </w:r>
      <w:r>
        <w:rPr>
          <w:rFonts w:ascii="宋体" w:hAnsi="宋体" w:hint="eastAsia"/>
          <w:color w:val="FF0000"/>
          <w:szCs w:val="21"/>
        </w:rPr>
        <w:t>（</w:t>
      </w:r>
      <w:r>
        <w:rPr>
          <w:rFonts w:ascii="宋体" w:hAnsi="宋体"/>
          <w:color w:val="FF0000"/>
          <w:szCs w:val="21"/>
        </w:rPr>
        <w:t>1</w:t>
      </w:r>
      <w:r>
        <w:rPr>
          <w:rFonts w:ascii="宋体" w:hAnsi="宋体" w:hint="eastAsia"/>
          <w:color w:val="FF0000"/>
          <w:szCs w:val="21"/>
        </w:rPr>
        <w:t>）计算发出原材料及结存原材料应负担的成本差异：</w:t>
      </w:r>
    </w:p>
    <w:p w:rsidR="00A36713" w:rsidRDefault="00A36713" w:rsidP="00A36713">
      <w:pPr>
        <w:widowControl w:val="0"/>
        <w:spacing w:after="0" w:line="360" w:lineRule="auto"/>
        <w:ind w:firstLine="420"/>
        <w:rPr>
          <w:rFonts w:ascii="宋体" w:hAnsi="宋体"/>
          <w:color w:val="FF0000"/>
          <w:szCs w:val="21"/>
        </w:rPr>
      </w:pPr>
      <w:r>
        <w:rPr>
          <w:rFonts w:ascii="宋体" w:hAnsi="宋体" w:hint="eastAsia"/>
          <w:color w:val="FF0000"/>
          <w:szCs w:val="21"/>
        </w:rPr>
        <w:t>发出原材料应负担的成本差异</w:t>
      </w:r>
      <w:r>
        <w:rPr>
          <w:rFonts w:ascii="宋体" w:hAnsi="宋体"/>
          <w:color w:val="FF0000"/>
          <w:szCs w:val="21"/>
        </w:rPr>
        <w:t>=3 200 000×</w:t>
      </w:r>
      <w:r>
        <w:rPr>
          <w:rFonts w:ascii="宋体" w:hAnsi="宋体" w:hint="eastAsia"/>
          <w:color w:val="FF0000"/>
          <w:szCs w:val="21"/>
        </w:rPr>
        <w:t>（－</w:t>
      </w:r>
      <w:r>
        <w:rPr>
          <w:rFonts w:ascii="宋体" w:hAnsi="宋体"/>
          <w:color w:val="FF0000"/>
          <w:szCs w:val="21"/>
        </w:rPr>
        <w:t>2%</w:t>
      </w:r>
      <w:r>
        <w:rPr>
          <w:rFonts w:ascii="宋体" w:hAnsi="宋体" w:hint="eastAsia"/>
          <w:color w:val="FF0000"/>
          <w:szCs w:val="21"/>
        </w:rPr>
        <w:t>）</w:t>
      </w:r>
      <w:r>
        <w:rPr>
          <w:rFonts w:ascii="宋体" w:hAnsi="宋体"/>
          <w:color w:val="FF0000"/>
          <w:szCs w:val="21"/>
        </w:rPr>
        <w:t>=</w:t>
      </w:r>
      <w:r>
        <w:rPr>
          <w:rFonts w:ascii="宋体" w:hAnsi="宋体" w:hint="eastAsia"/>
          <w:color w:val="FF0000"/>
          <w:szCs w:val="21"/>
        </w:rPr>
        <w:t>－</w:t>
      </w:r>
      <w:r>
        <w:rPr>
          <w:rFonts w:ascii="宋体" w:hAnsi="宋体"/>
          <w:color w:val="FF0000"/>
          <w:szCs w:val="21"/>
        </w:rPr>
        <w:t>64 000</w:t>
      </w:r>
      <w:r>
        <w:rPr>
          <w:rFonts w:ascii="宋体" w:hAnsi="宋体" w:hint="eastAsia"/>
          <w:color w:val="FF0000"/>
          <w:szCs w:val="21"/>
        </w:rPr>
        <w:t>（元）</w:t>
      </w:r>
    </w:p>
    <w:p w:rsidR="00A36713" w:rsidRDefault="00A36713" w:rsidP="00A36713">
      <w:pPr>
        <w:widowControl w:val="0"/>
        <w:spacing w:after="0" w:line="360" w:lineRule="auto"/>
        <w:ind w:firstLine="420"/>
        <w:rPr>
          <w:rFonts w:ascii="宋体" w:hAnsi="宋体"/>
          <w:color w:val="FF0000"/>
          <w:szCs w:val="21"/>
        </w:rPr>
      </w:pPr>
      <w:r>
        <w:rPr>
          <w:rFonts w:ascii="宋体" w:hAnsi="宋体" w:hint="eastAsia"/>
          <w:color w:val="FF0000"/>
          <w:szCs w:val="21"/>
        </w:rPr>
        <w:t>结存原材料应负担的成本差异</w:t>
      </w:r>
      <w:r>
        <w:rPr>
          <w:rFonts w:ascii="宋体" w:hAnsi="宋体"/>
          <w:color w:val="FF0000"/>
          <w:szCs w:val="21"/>
        </w:rPr>
        <w:t>=</w:t>
      </w:r>
      <w:r>
        <w:rPr>
          <w:rFonts w:ascii="宋体" w:hAnsi="宋体" w:hint="eastAsia"/>
          <w:color w:val="FF0000"/>
          <w:szCs w:val="21"/>
        </w:rPr>
        <w:t>（</w:t>
      </w:r>
      <w:r>
        <w:rPr>
          <w:rFonts w:ascii="宋体" w:hAnsi="宋体"/>
          <w:color w:val="FF0000"/>
          <w:szCs w:val="21"/>
        </w:rPr>
        <w:t>500 000</w:t>
      </w:r>
      <w:r>
        <w:rPr>
          <w:rFonts w:ascii="宋体" w:hAnsi="宋体" w:hint="eastAsia"/>
          <w:color w:val="FF0000"/>
          <w:szCs w:val="21"/>
        </w:rPr>
        <w:t>＋</w:t>
      </w:r>
      <w:r>
        <w:rPr>
          <w:rFonts w:ascii="宋体" w:hAnsi="宋体"/>
          <w:color w:val="FF0000"/>
          <w:szCs w:val="21"/>
        </w:rPr>
        <w:t>3 800 000</w:t>
      </w:r>
      <w:r>
        <w:rPr>
          <w:rFonts w:ascii="宋体" w:hAnsi="宋体" w:hint="eastAsia"/>
          <w:color w:val="FF0000"/>
          <w:szCs w:val="21"/>
        </w:rPr>
        <w:t>－</w:t>
      </w:r>
      <w:r>
        <w:rPr>
          <w:rFonts w:ascii="宋体" w:hAnsi="宋体"/>
          <w:color w:val="FF0000"/>
          <w:szCs w:val="21"/>
        </w:rPr>
        <w:t>3 200 000</w:t>
      </w:r>
      <w:r>
        <w:rPr>
          <w:rFonts w:ascii="宋体" w:hAnsi="宋体" w:hint="eastAsia"/>
          <w:color w:val="FF0000"/>
          <w:szCs w:val="21"/>
        </w:rPr>
        <w:t>）</w:t>
      </w:r>
      <w:r>
        <w:rPr>
          <w:rFonts w:ascii="宋体" w:hAnsi="宋体"/>
          <w:color w:val="FF0000"/>
          <w:szCs w:val="21"/>
        </w:rPr>
        <w:t>×</w:t>
      </w:r>
      <w:r>
        <w:rPr>
          <w:rFonts w:ascii="宋体" w:hAnsi="宋体" w:hint="eastAsia"/>
          <w:color w:val="FF0000"/>
          <w:szCs w:val="21"/>
        </w:rPr>
        <w:t>（－</w:t>
      </w:r>
      <w:r>
        <w:rPr>
          <w:rFonts w:ascii="宋体" w:hAnsi="宋体"/>
          <w:color w:val="FF0000"/>
          <w:szCs w:val="21"/>
        </w:rPr>
        <w:t>2%</w:t>
      </w:r>
      <w:r>
        <w:rPr>
          <w:rFonts w:ascii="宋体" w:hAnsi="宋体" w:hint="eastAsia"/>
          <w:color w:val="FF0000"/>
          <w:szCs w:val="21"/>
        </w:rPr>
        <w:t>）</w:t>
      </w:r>
      <w:r>
        <w:rPr>
          <w:rFonts w:ascii="宋体" w:hAnsi="宋体"/>
          <w:color w:val="FF0000"/>
          <w:szCs w:val="21"/>
        </w:rPr>
        <w:t>=</w:t>
      </w:r>
      <w:r>
        <w:rPr>
          <w:rFonts w:ascii="宋体" w:hAnsi="宋体" w:hint="eastAsia"/>
          <w:color w:val="FF0000"/>
          <w:szCs w:val="21"/>
        </w:rPr>
        <w:t>－</w:t>
      </w:r>
      <w:r>
        <w:rPr>
          <w:rFonts w:ascii="宋体" w:hAnsi="宋体"/>
          <w:color w:val="FF0000"/>
          <w:szCs w:val="21"/>
        </w:rPr>
        <w:t>22 000</w:t>
      </w:r>
      <w:r>
        <w:rPr>
          <w:rFonts w:ascii="宋体" w:hAnsi="宋体" w:hint="eastAsia"/>
          <w:color w:val="FF0000"/>
          <w:szCs w:val="21"/>
        </w:rPr>
        <w:t>（元）</w:t>
      </w:r>
    </w:p>
    <w:p w:rsidR="00A36713" w:rsidRDefault="00A36713" w:rsidP="00A36713">
      <w:pPr>
        <w:widowControl w:val="0"/>
        <w:spacing w:after="0" w:line="360" w:lineRule="auto"/>
        <w:ind w:firstLine="420"/>
        <w:rPr>
          <w:rFonts w:ascii="宋体" w:hAnsi="宋体"/>
          <w:color w:val="FF0000"/>
          <w:szCs w:val="21"/>
        </w:rPr>
      </w:pPr>
      <w:r>
        <w:rPr>
          <w:rFonts w:ascii="宋体" w:hAnsi="宋体" w:hint="eastAsia"/>
          <w:color w:val="FF0000"/>
          <w:szCs w:val="21"/>
        </w:rPr>
        <w:t>（</w:t>
      </w:r>
      <w:r>
        <w:rPr>
          <w:rFonts w:ascii="宋体" w:hAnsi="宋体"/>
          <w:color w:val="FF0000"/>
          <w:szCs w:val="21"/>
        </w:rPr>
        <w:t>2</w:t>
      </w:r>
      <w:r>
        <w:rPr>
          <w:rFonts w:ascii="宋体" w:hAnsi="宋体" w:hint="eastAsia"/>
          <w:color w:val="FF0000"/>
          <w:szCs w:val="21"/>
        </w:rPr>
        <w:t>）编制的有关会计分录：</w:t>
      </w:r>
    </w:p>
    <w:p w:rsidR="00A36713" w:rsidRDefault="00A36713" w:rsidP="00A36713">
      <w:pPr>
        <w:widowControl w:val="0"/>
        <w:spacing w:after="0" w:line="360" w:lineRule="auto"/>
        <w:rPr>
          <w:rFonts w:ascii="宋体" w:hAnsi="宋体"/>
          <w:color w:val="FF0000"/>
          <w:szCs w:val="21"/>
        </w:rPr>
      </w:pPr>
      <w:r>
        <w:rPr>
          <w:rFonts w:ascii="宋体" w:hAnsi="宋体" w:hint="eastAsia"/>
          <w:color w:val="FF0000"/>
          <w:szCs w:val="21"/>
        </w:rPr>
        <w:t xml:space="preserve">①借：生产成本——基本生产成本　　</w:t>
      </w:r>
      <w:r>
        <w:rPr>
          <w:rFonts w:ascii="宋体" w:hAnsi="宋体"/>
          <w:color w:val="FF0000"/>
          <w:szCs w:val="21"/>
        </w:rPr>
        <w:t>2 280 000</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t xml:space="preserve">生产成本——辅助生产成本　　</w:t>
      </w:r>
      <w:r>
        <w:rPr>
          <w:rFonts w:ascii="宋体" w:hAnsi="宋体"/>
          <w:color w:val="FF0000"/>
          <w:szCs w:val="21"/>
        </w:rPr>
        <w:t>500 000</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t xml:space="preserve">制造费用　　</w:t>
      </w:r>
      <w:r>
        <w:rPr>
          <w:rFonts w:ascii="宋体" w:hAnsi="宋体"/>
          <w:color w:val="FF0000"/>
          <w:szCs w:val="21"/>
        </w:rPr>
        <w:t>300 000</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t xml:space="preserve">管理费用　　</w:t>
      </w:r>
      <w:r>
        <w:rPr>
          <w:rFonts w:ascii="宋体" w:hAnsi="宋体"/>
          <w:color w:val="FF0000"/>
          <w:szCs w:val="21"/>
        </w:rPr>
        <w:t>100 000</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t xml:space="preserve">营业费用　　</w:t>
      </w:r>
      <w:r>
        <w:rPr>
          <w:rFonts w:ascii="宋体" w:hAnsi="宋体"/>
          <w:color w:val="FF0000"/>
          <w:szCs w:val="21"/>
        </w:rPr>
        <w:t>20 000</w:t>
      </w:r>
    </w:p>
    <w:p w:rsidR="00A36713" w:rsidRDefault="00A36713" w:rsidP="00A36713">
      <w:pPr>
        <w:widowControl w:val="0"/>
        <w:spacing w:after="0" w:line="360" w:lineRule="auto"/>
        <w:ind w:firstLineChars="200" w:firstLine="440"/>
        <w:rPr>
          <w:rFonts w:ascii="宋体" w:hAnsi="宋体"/>
          <w:color w:val="FF0000"/>
          <w:szCs w:val="21"/>
        </w:rPr>
      </w:pPr>
      <w:r>
        <w:rPr>
          <w:rFonts w:ascii="宋体" w:hAnsi="宋体" w:hint="eastAsia"/>
          <w:color w:val="FF0000"/>
          <w:szCs w:val="21"/>
        </w:rPr>
        <w:t xml:space="preserve">贷：原材料　　</w:t>
      </w:r>
      <w:r>
        <w:rPr>
          <w:rFonts w:ascii="宋体" w:hAnsi="宋体"/>
          <w:color w:val="FF0000"/>
          <w:szCs w:val="21"/>
        </w:rPr>
        <w:t>3 200 000</w:t>
      </w:r>
    </w:p>
    <w:p w:rsidR="00A36713" w:rsidRDefault="00A36713" w:rsidP="00A36713">
      <w:pPr>
        <w:widowControl w:val="0"/>
        <w:spacing w:after="0" w:line="360" w:lineRule="auto"/>
        <w:rPr>
          <w:rFonts w:ascii="宋体" w:hAnsi="宋体"/>
          <w:color w:val="FF0000"/>
          <w:szCs w:val="21"/>
        </w:rPr>
      </w:pPr>
      <w:r>
        <w:rPr>
          <w:rFonts w:ascii="宋体" w:hAnsi="宋体" w:hint="eastAsia"/>
          <w:color w:val="FF0000"/>
          <w:szCs w:val="21"/>
        </w:rPr>
        <w:t>②借：生产成本——基本生产成本　　（</w:t>
      </w:r>
      <w:r>
        <w:rPr>
          <w:rFonts w:ascii="宋体" w:hAnsi="宋体"/>
          <w:color w:val="FF0000"/>
          <w:szCs w:val="21"/>
        </w:rPr>
        <w:t>45 600</w:t>
      </w:r>
      <w:r>
        <w:rPr>
          <w:rFonts w:ascii="宋体" w:hAnsi="宋体" w:hint="eastAsia"/>
          <w:color w:val="FF0000"/>
          <w:szCs w:val="21"/>
        </w:rPr>
        <w:t>）</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t>生产成本——辅助生产成本　　（</w:t>
      </w:r>
      <w:r>
        <w:rPr>
          <w:rFonts w:ascii="宋体" w:hAnsi="宋体"/>
          <w:color w:val="FF0000"/>
          <w:szCs w:val="21"/>
        </w:rPr>
        <w:t>10 000</w:t>
      </w:r>
      <w:r>
        <w:rPr>
          <w:rFonts w:ascii="宋体" w:hAnsi="宋体" w:hint="eastAsia"/>
          <w:color w:val="FF0000"/>
          <w:szCs w:val="21"/>
        </w:rPr>
        <w:t>）</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t>制造费用　　（</w:t>
      </w:r>
      <w:r>
        <w:rPr>
          <w:rFonts w:ascii="宋体" w:hAnsi="宋体"/>
          <w:color w:val="FF0000"/>
          <w:szCs w:val="21"/>
        </w:rPr>
        <w:t>6 000</w:t>
      </w:r>
      <w:r>
        <w:rPr>
          <w:rFonts w:ascii="宋体" w:hAnsi="宋体" w:hint="eastAsia"/>
          <w:color w:val="FF0000"/>
          <w:szCs w:val="21"/>
        </w:rPr>
        <w:t>）</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lastRenderedPageBreak/>
        <w:t>管理费用　　（</w:t>
      </w:r>
      <w:r>
        <w:rPr>
          <w:rFonts w:ascii="宋体" w:hAnsi="宋体"/>
          <w:color w:val="FF0000"/>
          <w:szCs w:val="21"/>
        </w:rPr>
        <w:t>2 000</w:t>
      </w:r>
      <w:r>
        <w:rPr>
          <w:rFonts w:ascii="宋体" w:hAnsi="宋体" w:hint="eastAsia"/>
          <w:color w:val="FF0000"/>
          <w:szCs w:val="21"/>
        </w:rPr>
        <w:t>）</w:t>
      </w:r>
    </w:p>
    <w:p w:rsidR="00A36713" w:rsidRDefault="00A36713" w:rsidP="00A36713">
      <w:pPr>
        <w:widowControl w:val="0"/>
        <w:spacing w:after="0" w:line="360" w:lineRule="auto"/>
        <w:ind w:firstLine="630"/>
        <w:rPr>
          <w:rFonts w:ascii="宋体" w:hAnsi="宋体"/>
          <w:color w:val="FF0000"/>
          <w:szCs w:val="21"/>
        </w:rPr>
      </w:pPr>
      <w:r>
        <w:rPr>
          <w:rFonts w:ascii="宋体" w:hAnsi="宋体" w:hint="eastAsia"/>
          <w:color w:val="FF0000"/>
          <w:szCs w:val="21"/>
        </w:rPr>
        <w:t>营业费用　　（</w:t>
      </w:r>
      <w:r>
        <w:rPr>
          <w:rFonts w:ascii="宋体" w:hAnsi="宋体"/>
          <w:color w:val="FF0000"/>
          <w:szCs w:val="21"/>
        </w:rPr>
        <w:t>400</w:t>
      </w:r>
      <w:r>
        <w:rPr>
          <w:rFonts w:ascii="宋体" w:hAnsi="宋体" w:hint="eastAsia"/>
          <w:color w:val="FF0000"/>
          <w:szCs w:val="21"/>
        </w:rPr>
        <w:t>）</w:t>
      </w:r>
    </w:p>
    <w:p w:rsidR="00A36713" w:rsidRDefault="00A36713" w:rsidP="00A36713">
      <w:pPr>
        <w:widowControl w:val="0"/>
        <w:spacing w:after="0" w:line="360" w:lineRule="auto"/>
        <w:ind w:firstLineChars="200" w:firstLine="440"/>
        <w:rPr>
          <w:rFonts w:ascii="宋体" w:hAnsi="宋体"/>
          <w:color w:val="FF0000"/>
          <w:szCs w:val="21"/>
          <w:lang w:val="zh-CN"/>
        </w:rPr>
      </w:pPr>
      <w:r>
        <w:rPr>
          <w:rFonts w:ascii="宋体" w:hAnsi="宋体" w:hint="eastAsia"/>
          <w:color w:val="FF0000"/>
          <w:szCs w:val="21"/>
        </w:rPr>
        <w:t>贷：材料成本差异　　（</w:t>
      </w:r>
      <w:r>
        <w:rPr>
          <w:rFonts w:ascii="宋体" w:hAnsi="宋体"/>
          <w:color w:val="FF0000"/>
          <w:szCs w:val="21"/>
        </w:rPr>
        <w:t>64 000</w:t>
      </w:r>
      <w:r>
        <w:rPr>
          <w:rFonts w:ascii="宋体" w:hAnsi="宋体" w:hint="eastAsia"/>
          <w:color w:val="FF0000"/>
          <w:szCs w:val="21"/>
        </w:rPr>
        <w:t>）</w:t>
      </w:r>
    </w:p>
    <w:p w:rsidR="00053B85" w:rsidRDefault="00053B85" w:rsidP="00053B85">
      <w:pPr>
        <w:widowControl w:val="0"/>
        <w:spacing w:after="0" w:line="360" w:lineRule="auto"/>
        <w:ind w:firstLine="420"/>
        <w:rPr>
          <w:rFonts w:ascii="宋体" w:hAnsi="宋体"/>
          <w:color w:val="FF0000"/>
          <w:szCs w:val="21"/>
          <w:lang w:val="zh-CN"/>
        </w:rPr>
      </w:pPr>
    </w:p>
    <w:p w:rsidR="001A4EBE" w:rsidRDefault="001A4EBE" w:rsidP="001A4EBE">
      <w:pPr>
        <w:widowControl w:val="0"/>
        <w:spacing w:after="0" w:line="360" w:lineRule="auto"/>
        <w:rPr>
          <w:rFonts w:ascii="宋体" w:hAnsi="宋体" w:hint="eastAsia"/>
          <w:sz w:val="32"/>
          <w:szCs w:val="32"/>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44C" w:rsidRDefault="004F444C" w:rsidP="001A4EBE">
      <w:pPr>
        <w:spacing w:after="0"/>
      </w:pPr>
      <w:r>
        <w:separator/>
      </w:r>
    </w:p>
  </w:endnote>
  <w:endnote w:type="continuationSeparator" w:id="0">
    <w:p w:rsidR="004F444C" w:rsidRDefault="004F444C" w:rsidP="001A4E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44C" w:rsidRDefault="004F444C" w:rsidP="001A4EBE">
      <w:pPr>
        <w:spacing w:after="0"/>
      </w:pPr>
      <w:r>
        <w:separator/>
      </w:r>
    </w:p>
  </w:footnote>
  <w:footnote w:type="continuationSeparator" w:id="0">
    <w:p w:rsidR="004F444C" w:rsidRDefault="004F444C" w:rsidP="001A4EBE">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053B85"/>
    <w:rsid w:val="001A4EBE"/>
    <w:rsid w:val="00323B43"/>
    <w:rsid w:val="003D37D8"/>
    <w:rsid w:val="003E5AE2"/>
    <w:rsid w:val="00426133"/>
    <w:rsid w:val="004358AB"/>
    <w:rsid w:val="004F444C"/>
    <w:rsid w:val="008B7726"/>
    <w:rsid w:val="00A36713"/>
    <w:rsid w:val="00B3434F"/>
    <w:rsid w:val="00D31D50"/>
    <w:rsid w:val="00E924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A4EB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A4EBE"/>
    <w:rPr>
      <w:rFonts w:ascii="Tahoma" w:hAnsi="Tahoma"/>
      <w:sz w:val="18"/>
      <w:szCs w:val="18"/>
    </w:rPr>
  </w:style>
  <w:style w:type="paragraph" w:styleId="a4">
    <w:name w:val="footer"/>
    <w:basedOn w:val="a"/>
    <w:link w:val="Char0"/>
    <w:uiPriority w:val="99"/>
    <w:semiHidden/>
    <w:unhideWhenUsed/>
    <w:rsid w:val="001A4EBE"/>
    <w:pPr>
      <w:tabs>
        <w:tab w:val="center" w:pos="4153"/>
        <w:tab w:val="right" w:pos="8306"/>
      </w:tabs>
    </w:pPr>
    <w:rPr>
      <w:sz w:val="18"/>
      <w:szCs w:val="18"/>
    </w:rPr>
  </w:style>
  <w:style w:type="character" w:customStyle="1" w:styleId="Char0">
    <w:name w:val="页脚 Char"/>
    <w:basedOn w:val="a0"/>
    <w:link w:val="a4"/>
    <w:uiPriority w:val="99"/>
    <w:semiHidden/>
    <w:rsid w:val="001A4EBE"/>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202</Words>
  <Characters>1152</Characters>
  <Application>Microsoft Office Word</Application>
  <DocSecurity>0</DocSecurity>
  <Lines>9</Lines>
  <Paragraphs>2</Paragraphs>
  <ScaleCrop>false</ScaleCrop>
  <Company/>
  <LinksUpToDate>false</LinksUpToDate>
  <CharactersWithSpaces>1352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2008-09-11T17:20:00Z</dcterms:created>
  <dcterms:modified xsi:type="dcterms:W3CDTF">2015-03-08T06:01:00Z</dcterms:modified>
</cp:coreProperties>
</file>