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4851FF" w:rsidP="004851FF">
      <w:pPr>
        <w:spacing w:line="220" w:lineRule="atLeast"/>
        <w:jc w:val="center"/>
        <w:rPr>
          <w:rFonts w:ascii="宋体" w:hAnsi="宋体" w:hint="eastAsia"/>
          <w:b/>
          <w:bCs/>
          <w:sz w:val="32"/>
          <w:szCs w:val="32"/>
        </w:rPr>
      </w:pPr>
      <w:r>
        <w:rPr>
          <w:rFonts w:ascii="宋体" w:hAnsi="宋体" w:hint="eastAsia"/>
          <w:b/>
          <w:bCs/>
          <w:sz w:val="32"/>
          <w:szCs w:val="32"/>
        </w:rPr>
        <w:t>《会计制度设计》</w:t>
      </w:r>
    </w:p>
    <w:p w:rsidR="004B34AC" w:rsidRDefault="004B34AC" w:rsidP="004B34AC">
      <w:pPr>
        <w:spacing w:line="360" w:lineRule="auto"/>
        <w:rPr>
          <w:rFonts w:ascii="宋体" w:hAnsi="宋体"/>
          <w:b/>
          <w:color w:val="000000"/>
          <w:szCs w:val="21"/>
        </w:rPr>
      </w:pPr>
      <w:r>
        <w:rPr>
          <w:rFonts w:ascii="宋体" w:hAnsi="宋体"/>
          <w:b/>
          <w:bCs/>
          <w:color w:val="000000"/>
        </w:rPr>
        <w:t>一．</w:t>
      </w:r>
      <w:r>
        <w:rPr>
          <w:rFonts w:ascii="宋体" w:hAnsi="宋体"/>
          <w:b/>
        </w:rPr>
        <w:t>简答题</w:t>
      </w:r>
    </w:p>
    <w:p w:rsidR="004B34AC" w:rsidRDefault="004B34AC" w:rsidP="004B34AC">
      <w:pPr>
        <w:spacing w:line="360" w:lineRule="auto"/>
        <w:ind w:firstLineChars="200" w:firstLine="440"/>
        <w:rPr>
          <w:rFonts w:ascii="宋体" w:hAnsi="宋体"/>
          <w:color w:val="FF0000"/>
          <w:szCs w:val="21"/>
        </w:rPr>
      </w:pPr>
      <w:r>
        <w:rPr>
          <w:rFonts w:hint="eastAsia"/>
        </w:rPr>
        <w:t>1.</w:t>
      </w:r>
      <w:r w:rsidRPr="004B34AC">
        <w:rPr>
          <w:rFonts w:ascii="宋体" w:hAnsi="宋体" w:hint="eastAsia"/>
          <w:color w:val="FF0000"/>
          <w:szCs w:val="21"/>
        </w:rPr>
        <w:t xml:space="preserve"> </w:t>
      </w:r>
      <w:r>
        <w:rPr>
          <w:rFonts w:ascii="宋体" w:hAnsi="宋体" w:hint="eastAsia"/>
          <w:color w:val="FF0000"/>
          <w:szCs w:val="21"/>
        </w:rPr>
        <w:t>①股票发行、收款、纪录职务分离；</w:t>
      </w:r>
    </w:p>
    <w:p w:rsidR="004B34AC" w:rsidRDefault="004B34AC" w:rsidP="004B34AC">
      <w:pPr>
        <w:spacing w:line="360" w:lineRule="auto"/>
        <w:ind w:firstLine="420"/>
        <w:rPr>
          <w:rFonts w:ascii="宋体" w:hAnsi="宋体"/>
          <w:color w:val="FF0000"/>
          <w:szCs w:val="21"/>
        </w:rPr>
      </w:pPr>
      <w:r>
        <w:rPr>
          <w:rFonts w:ascii="宋体" w:hAnsi="宋体" w:hint="eastAsia"/>
          <w:color w:val="FF0000"/>
          <w:szCs w:val="21"/>
        </w:rPr>
        <w:t>②核对股票交款单合计和银行收款通知金额合计；</w:t>
      </w:r>
    </w:p>
    <w:p w:rsidR="004B34AC" w:rsidRDefault="004B34AC" w:rsidP="004B34AC">
      <w:pPr>
        <w:spacing w:line="360" w:lineRule="auto"/>
        <w:ind w:firstLine="420"/>
        <w:rPr>
          <w:rFonts w:ascii="宋体" w:hAnsi="宋体"/>
          <w:color w:val="FF0000"/>
          <w:szCs w:val="21"/>
          <w:lang w:val="zh-CN"/>
        </w:rPr>
      </w:pPr>
      <w:r>
        <w:rPr>
          <w:rFonts w:ascii="宋体" w:hAnsi="宋体" w:hint="eastAsia"/>
          <w:color w:val="FF0000"/>
          <w:szCs w:val="21"/>
        </w:rPr>
        <w:t>③核对股东名册持有数合计与会计报表列示发行股数合计。</w:t>
      </w:r>
    </w:p>
    <w:p w:rsidR="004B34AC" w:rsidRDefault="004B34AC" w:rsidP="004B34AC">
      <w:pPr>
        <w:spacing w:line="360" w:lineRule="auto"/>
        <w:ind w:firstLineChars="200" w:firstLine="440"/>
        <w:rPr>
          <w:rFonts w:ascii="宋体" w:hAnsi="宋体"/>
          <w:color w:val="FF0000"/>
          <w:szCs w:val="21"/>
        </w:rPr>
      </w:pPr>
      <w:r>
        <w:rPr>
          <w:rFonts w:hint="eastAsia"/>
        </w:rPr>
        <w:t>2.</w:t>
      </w:r>
      <w:r w:rsidRPr="004B34AC">
        <w:rPr>
          <w:rFonts w:ascii="宋体" w:hAnsi="宋体" w:hint="eastAsia"/>
          <w:color w:val="FF0000"/>
          <w:szCs w:val="21"/>
        </w:rPr>
        <w:t xml:space="preserve"> </w:t>
      </w:r>
      <w:r>
        <w:rPr>
          <w:rFonts w:ascii="宋体" w:hAnsi="宋体" w:hint="eastAsia"/>
          <w:color w:val="FF0000"/>
          <w:szCs w:val="21"/>
        </w:rPr>
        <w:t>①保证会计制度具体设计的适用性和可行性</w:t>
      </w:r>
    </w:p>
    <w:p w:rsidR="004B34AC" w:rsidRDefault="004B34AC" w:rsidP="004B34AC">
      <w:pPr>
        <w:spacing w:line="360" w:lineRule="auto"/>
        <w:ind w:firstLine="420"/>
        <w:rPr>
          <w:rFonts w:ascii="宋体" w:hAnsi="宋体"/>
          <w:color w:val="FF0000"/>
          <w:szCs w:val="21"/>
        </w:rPr>
      </w:pPr>
      <w:r>
        <w:rPr>
          <w:rFonts w:ascii="宋体" w:hAnsi="宋体" w:hint="eastAsia"/>
          <w:color w:val="FF0000"/>
          <w:szCs w:val="21"/>
        </w:rPr>
        <w:t>②协调整合企业各项制度使之相互衔接同步进行</w:t>
      </w:r>
    </w:p>
    <w:p w:rsidR="004B34AC" w:rsidRDefault="004B34AC" w:rsidP="004B34AC">
      <w:pPr>
        <w:spacing w:line="360" w:lineRule="auto"/>
        <w:ind w:firstLine="420"/>
        <w:rPr>
          <w:rFonts w:ascii="宋体" w:hAnsi="宋体"/>
          <w:color w:val="FF0000"/>
          <w:szCs w:val="21"/>
          <w:lang w:val="zh-CN"/>
        </w:rPr>
      </w:pPr>
      <w:r>
        <w:rPr>
          <w:rFonts w:ascii="宋体" w:hAnsi="宋体" w:hint="eastAsia"/>
          <w:color w:val="FF0000"/>
          <w:szCs w:val="21"/>
        </w:rPr>
        <w:t>③规范控制会计制度的具体设计有条不紊地进行</w:t>
      </w:r>
    </w:p>
    <w:p w:rsidR="004B34AC" w:rsidRDefault="004B34AC" w:rsidP="004B34AC">
      <w:pPr>
        <w:spacing w:line="360" w:lineRule="auto"/>
        <w:rPr>
          <w:rFonts w:ascii="宋体" w:hAnsi="宋体"/>
          <w:b/>
        </w:rPr>
      </w:pPr>
      <w:r>
        <w:rPr>
          <w:rFonts w:ascii="宋体" w:hAnsi="宋体"/>
          <w:b/>
        </w:rPr>
        <w:t>二</w:t>
      </w:r>
      <w:r>
        <w:rPr>
          <w:rFonts w:ascii="宋体" w:hAnsi="宋体"/>
          <w:b/>
          <w:bCs/>
          <w:color w:val="000000"/>
        </w:rPr>
        <w:t>．</w:t>
      </w:r>
      <w:r>
        <w:rPr>
          <w:rFonts w:ascii="宋体" w:hAnsi="宋体"/>
          <w:b/>
        </w:rPr>
        <w:t>论述题</w:t>
      </w:r>
    </w:p>
    <w:p w:rsidR="004B34AC" w:rsidRDefault="004B34AC" w:rsidP="004B34AC">
      <w:pPr>
        <w:spacing w:line="360" w:lineRule="auto"/>
        <w:rPr>
          <w:rFonts w:ascii="宋体" w:hAnsi="宋体"/>
          <w:color w:val="FF0000"/>
          <w:szCs w:val="21"/>
        </w:rPr>
      </w:pPr>
      <w:r>
        <w:rPr>
          <w:rFonts w:hint="eastAsia"/>
        </w:rPr>
        <w:t>1.</w:t>
      </w:r>
      <w:r w:rsidRPr="004B34AC">
        <w:rPr>
          <w:rFonts w:ascii="宋体" w:hAnsi="宋体" w:hint="eastAsia"/>
          <w:color w:val="FF0000"/>
          <w:szCs w:val="21"/>
        </w:rPr>
        <w:t xml:space="preserve"> </w:t>
      </w:r>
      <w:r>
        <w:rPr>
          <w:rFonts w:ascii="宋体" w:hAnsi="宋体" w:hint="eastAsia"/>
          <w:color w:val="FF0000"/>
          <w:szCs w:val="21"/>
        </w:rPr>
        <w:t>货币资金内部控制制度中的职务分离制度所包含的主要内容是：</w:t>
      </w:r>
    </w:p>
    <w:p w:rsidR="004B34AC" w:rsidRDefault="004B34AC" w:rsidP="004B34AC">
      <w:pPr>
        <w:spacing w:line="360" w:lineRule="auto"/>
        <w:ind w:firstLine="420"/>
        <w:rPr>
          <w:rFonts w:ascii="宋体" w:hAnsi="宋体"/>
          <w:color w:val="FF0000"/>
          <w:szCs w:val="21"/>
        </w:rPr>
      </w:pPr>
      <w:r>
        <w:rPr>
          <w:rFonts w:ascii="宋体" w:hAnsi="宋体" w:hint="eastAsia"/>
          <w:color w:val="FF0000"/>
          <w:szCs w:val="21"/>
        </w:rPr>
        <w:t>①货币资金的收付及保管应由被授权批准的专职出纳人员负责，其他人员不得接触；</w:t>
      </w:r>
    </w:p>
    <w:p w:rsidR="004B34AC" w:rsidRDefault="004B34AC" w:rsidP="004B34AC">
      <w:pPr>
        <w:spacing w:line="360" w:lineRule="auto"/>
        <w:ind w:firstLine="420"/>
        <w:rPr>
          <w:rFonts w:ascii="宋体" w:hAnsi="宋体"/>
          <w:color w:val="FF0000"/>
          <w:szCs w:val="21"/>
        </w:rPr>
      </w:pPr>
      <w:r>
        <w:rPr>
          <w:rFonts w:ascii="宋体" w:hAnsi="宋体" w:hint="eastAsia"/>
          <w:color w:val="FF0000"/>
          <w:szCs w:val="21"/>
        </w:rPr>
        <w:t>②出纳人员不能同时负责总分类账的登记和保管；</w:t>
      </w:r>
    </w:p>
    <w:p w:rsidR="004B34AC" w:rsidRDefault="004B34AC" w:rsidP="004B34AC">
      <w:pPr>
        <w:spacing w:line="360" w:lineRule="auto"/>
        <w:ind w:firstLine="420"/>
        <w:rPr>
          <w:rFonts w:ascii="宋体" w:hAnsi="宋体"/>
          <w:color w:val="FF0000"/>
          <w:szCs w:val="21"/>
        </w:rPr>
      </w:pPr>
      <w:r>
        <w:rPr>
          <w:rFonts w:ascii="宋体" w:hAnsi="宋体" w:hint="eastAsia"/>
          <w:color w:val="FF0000"/>
          <w:szCs w:val="21"/>
        </w:rPr>
        <w:t>③出纳人员不能同时负责非货币资金账户的记账工作；</w:t>
      </w:r>
    </w:p>
    <w:p w:rsidR="004B34AC" w:rsidRDefault="004B34AC" w:rsidP="004B34AC">
      <w:pPr>
        <w:spacing w:line="360" w:lineRule="auto"/>
        <w:ind w:firstLine="420"/>
        <w:rPr>
          <w:rFonts w:ascii="宋体" w:hAnsi="宋体"/>
          <w:color w:val="FF0000"/>
          <w:szCs w:val="21"/>
        </w:rPr>
      </w:pPr>
      <w:r>
        <w:rPr>
          <w:rFonts w:ascii="宋体" w:hAnsi="宋体" w:hint="eastAsia"/>
          <w:color w:val="FF0000"/>
          <w:szCs w:val="21"/>
        </w:rPr>
        <w:t>④出纳人员应与货币资金审批人员相分离，实施严格的审批制度；</w:t>
      </w:r>
    </w:p>
    <w:p w:rsidR="004B34AC" w:rsidRDefault="004B34AC" w:rsidP="004B34AC">
      <w:pPr>
        <w:spacing w:line="360" w:lineRule="auto"/>
        <w:ind w:firstLine="420"/>
        <w:rPr>
          <w:rFonts w:ascii="宋体" w:hAnsi="宋体"/>
          <w:color w:val="FF0000"/>
          <w:szCs w:val="21"/>
        </w:rPr>
      </w:pPr>
      <w:r>
        <w:rPr>
          <w:rFonts w:ascii="宋体" w:hAnsi="宋体" w:hint="eastAsia"/>
          <w:color w:val="FF0000"/>
          <w:szCs w:val="21"/>
        </w:rPr>
        <w:t>⑤货币资金的收付和控制货币资金收支的专用印章不得由一人兼管；</w:t>
      </w:r>
    </w:p>
    <w:p w:rsidR="004B34AC" w:rsidRDefault="004B34AC" w:rsidP="004B34AC">
      <w:pPr>
        <w:spacing w:line="360" w:lineRule="auto"/>
        <w:ind w:firstLine="420"/>
        <w:rPr>
          <w:rFonts w:ascii="宋体" w:hAnsi="宋体"/>
          <w:color w:val="FF0000"/>
          <w:szCs w:val="21"/>
        </w:rPr>
      </w:pPr>
      <w:r>
        <w:rPr>
          <w:rFonts w:ascii="宋体" w:hAnsi="宋体" w:hint="eastAsia"/>
          <w:color w:val="FF0000"/>
          <w:szCs w:val="21"/>
        </w:rPr>
        <w:t>⑥出纳人员应与货币资金的稽核人员、会计档案保管人员相分离；</w:t>
      </w:r>
    </w:p>
    <w:p w:rsidR="004B34AC" w:rsidRDefault="004B34AC" w:rsidP="004B34AC">
      <w:pPr>
        <w:spacing w:line="360" w:lineRule="auto"/>
        <w:ind w:firstLine="420"/>
        <w:rPr>
          <w:rFonts w:ascii="宋体" w:hAnsi="宋体"/>
          <w:color w:val="FF0000"/>
          <w:szCs w:val="21"/>
        </w:rPr>
      </w:pPr>
      <w:r>
        <w:rPr>
          <w:rFonts w:ascii="宋体" w:hAnsi="宋体" w:hint="eastAsia"/>
          <w:color w:val="FF0000"/>
          <w:szCs w:val="21"/>
        </w:rPr>
        <w:t>⑦负责货币资金收付的人员应与负责现金的清查盘点人员和负责与银行对账的人员相分离；</w:t>
      </w:r>
    </w:p>
    <w:p w:rsidR="004B34AC" w:rsidRDefault="004B34AC" w:rsidP="004B34AC">
      <w:pPr>
        <w:spacing w:line="360" w:lineRule="auto"/>
        <w:ind w:firstLine="420"/>
        <w:rPr>
          <w:rFonts w:ascii="宋体" w:hAnsi="宋体"/>
          <w:color w:val="FF0000"/>
          <w:szCs w:val="21"/>
        </w:rPr>
      </w:pPr>
      <w:r>
        <w:rPr>
          <w:rFonts w:ascii="宋体" w:hAnsi="宋体" w:hint="eastAsia"/>
          <w:color w:val="FF0000"/>
          <w:szCs w:val="21"/>
        </w:rPr>
        <w:lastRenderedPageBreak/>
        <w:t>⑧建立出纳人员、专用印章保管人员、会计人员、稽核人员、会计档案保管人员及货币资金清查人员的责任制度。</w:t>
      </w:r>
    </w:p>
    <w:p w:rsidR="004B34AC" w:rsidRDefault="004B34AC" w:rsidP="004B34AC">
      <w:pPr>
        <w:spacing w:line="360" w:lineRule="auto"/>
        <w:ind w:firstLine="420"/>
        <w:rPr>
          <w:rFonts w:ascii="宋体" w:hAnsi="宋体" w:hint="eastAsia"/>
          <w:color w:val="FF0000"/>
          <w:szCs w:val="21"/>
        </w:rPr>
      </w:pPr>
      <w:r>
        <w:rPr>
          <w:rFonts w:ascii="宋体" w:hAnsi="宋体" w:hint="eastAsia"/>
          <w:color w:val="FF0000"/>
          <w:szCs w:val="21"/>
        </w:rPr>
        <w:t>科学的货币资金职务分离制度，将与货币资金业务相关的各方人员从职务上相互牵制，就可以最大限度地降低企业内部人员的舞弊风险。</w:t>
      </w:r>
    </w:p>
    <w:p w:rsidR="004B34AC" w:rsidRDefault="004B34AC" w:rsidP="004B34AC">
      <w:pPr>
        <w:spacing w:line="360" w:lineRule="auto"/>
        <w:ind w:firstLineChars="200" w:firstLine="440"/>
        <w:rPr>
          <w:rFonts w:ascii="宋体" w:hAnsi="宋体"/>
          <w:color w:val="FF0000"/>
          <w:szCs w:val="21"/>
        </w:rPr>
      </w:pPr>
      <w:r>
        <w:rPr>
          <w:rFonts w:hint="eastAsia"/>
        </w:rPr>
        <w:t>2.</w:t>
      </w:r>
      <w:r w:rsidRPr="004B34AC">
        <w:rPr>
          <w:rFonts w:ascii="宋体" w:hAnsi="宋体" w:hint="eastAsia"/>
          <w:color w:val="FF0000"/>
          <w:szCs w:val="21"/>
        </w:rPr>
        <w:t xml:space="preserve"> </w:t>
      </w:r>
      <w:r>
        <w:rPr>
          <w:rFonts w:ascii="宋体" w:hAnsi="宋体" w:hint="eastAsia"/>
          <w:color w:val="FF0000"/>
          <w:szCs w:val="21"/>
        </w:rPr>
        <w:t>（</w:t>
      </w:r>
      <w:r>
        <w:rPr>
          <w:rFonts w:ascii="宋体" w:hAnsi="宋体"/>
          <w:color w:val="FF0000"/>
          <w:szCs w:val="21"/>
        </w:rPr>
        <w:t>1</w:t>
      </w:r>
      <w:r>
        <w:rPr>
          <w:rFonts w:ascii="宋体" w:hAnsi="宋体" w:hint="eastAsia"/>
          <w:color w:val="FF0000"/>
          <w:szCs w:val="21"/>
        </w:rPr>
        <w:t>）有利于提高会计信息质量</w:t>
      </w:r>
    </w:p>
    <w:p w:rsidR="004B34AC" w:rsidRDefault="004B34AC" w:rsidP="004B34AC">
      <w:pPr>
        <w:spacing w:line="360" w:lineRule="auto"/>
        <w:ind w:firstLine="420"/>
        <w:rPr>
          <w:rFonts w:ascii="宋体" w:hAnsi="宋体"/>
          <w:color w:val="FF0000"/>
          <w:szCs w:val="21"/>
        </w:rPr>
      </w:pPr>
      <w:r>
        <w:rPr>
          <w:rFonts w:ascii="宋体" w:hAnsi="宋体" w:hint="eastAsia"/>
          <w:color w:val="FF0000"/>
          <w:szCs w:val="21"/>
        </w:rPr>
        <w:t>通过会计科目的设计，对会计核算的具体内容进行了系统的分类，并形成了完整的会计科目体系，使经济业务发生后引起的各项会计要素的增减变动情况得到了系统的、分类的反映，有利于准确确定并提供与企业相关的各利害关系集团所需要的会计信息。</w:t>
      </w:r>
    </w:p>
    <w:p w:rsidR="004B34AC" w:rsidRDefault="004B34AC" w:rsidP="004B34AC">
      <w:pPr>
        <w:spacing w:line="360" w:lineRule="auto"/>
        <w:ind w:firstLine="420"/>
        <w:rPr>
          <w:rFonts w:ascii="宋体" w:hAnsi="宋体"/>
          <w:color w:val="FF0000"/>
          <w:szCs w:val="21"/>
        </w:rPr>
      </w:pPr>
      <w:r>
        <w:rPr>
          <w:rFonts w:ascii="宋体" w:hAnsi="宋体" w:hint="eastAsia"/>
          <w:color w:val="FF0000"/>
          <w:szCs w:val="21"/>
        </w:rPr>
        <w:t>（</w:t>
      </w:r>
      <w:r>
        <w:rPr>
          <w:rFonts w:ascii="宋体" w:hAnsi="宋体"/>
          <w:color w:val="FF0000"/>
          <w:szCs w:val="21"/>
        </w:rPr>
        <w:t>2</w:t>
      </w:r>
      <w:r>
        <w:rPr>
          <w:rFonts w:ascii="宋体" w:hAnsi="宋体" w:hint="eastAsia"/>
          <w:color w:val="FF0000"/>
          <w:szCs w:val="21"/>
        </w:rPr>
        <w:t>）为建立科学完善的会计核算方法体系奠定了基础</w:t>
      </w:r>
    </w:p>
    <w:p w:rsidR="004B34AC" w:rsidRDefault="004B34AC" w:rsidP="004B34AC">
      <w:pPr>
        <w:spacing w:line="360" w:lineRule="auto"/>
        <w:ind w:firstLine="420"/>
        <w:rPr>
          <w:rFonts w:ascii="宋体" w:hAnsi="宋体"/>
          <w:color w:val="FF0000"/>
          <w:szCs w:val="21"/>
        </w:rPr>
      </w:pPr>
      <w:r>
        <w:rPr>
          <w:rFonts w:ascii="宋体" w:hAnsi="宋体" w:hint="eastAsia"/>
          <w:color w:val="FF0000"/>
          <w:szCs w:val="21"/>
        </w:rPr>
        <w:t>会计科目的设计，保证了复式记账法的广泛应用，为顺利编制记账凭证、开设账户、建立账簿提供了依据，为编制会计报表奠定了基础。</w:t>
      </w:r>
    </w:p>
    <w:p w:rsidR="004B34AC" w:rsidRDefault="004B34AC" w:rsidP="004B34AC">
      <w:pPr>
        <w:spacing w:line="360" w:lineRule="auto"/>
        <w:ind w:firstLine="420"/>
        <w:rPr>
          <w:rFonts w:ascii="宋体" w:hAnsi="宋体"/>
          <w:color w:val="FF0000"/>
          <w:szCs w:val="21"/>
        </w:rPr>
      </w:pPr>
      <w:r>
        <w:rPr>
          <w:rFonts w:ascii="宋体" w:hAnsi="宋体" w:hint="eastAsia"/>
          <w:color w:val="FF0000"/>
          <w:szCs w:val="21"/>
        </w:rPr>
        <w:t>（</w:t>
      </w:r>
      <w:r>
        <w:rPr>
          <w:rFonts w:ascii="宋体" w:hAnsi="宋体"/>
          <w:color w:val="FF0000"/>
          <w:szCs w:val="21"/>
        </w:rPr>
        <w:t>3</w:t>
      </w:r>
      <w:r>
        <w:rPr>
          <w:rFonts w:ascii="宋体" w:hAnsi="宋体" w:hint="eastAsia"/>
          <w:color w:val="FF0000"/>
          <w:szCs w:val="21"/>
        </w:rPr>
        <w:t>）有利于会计工作的合理分工和会计工作的顺利开展</w:t>
      </w:r>
    </w:p>
    <w:p w:rsidR="004B34AC" w:rsidRDefault="004B34AC" w:rsidP="004B34AC">
      <w:pPr>
        <w:spacing w:line="360" w:lineRule="auto"/>
        <w:ind w:firstLine="420"/>
        <w:rPr>
          <w:rFonts w:ascii="宋体" w:hAnsi="宋体"/>
          <w:color w:val="FF0000"/>
          <w:szCs w:val="21"/>
          <w:lang w:val="zh-CN"/>
        </w:rPr>
      </w:pPr>
      <w:r>
        <w:rPr>
          <w:rFonts w:ascii="宋体" w:hAnsi="宋体" w:hint="eastAsia"/>
          <w:color w:val="FF0000"/>
          <w:szCs w:val="21"/>
        </w:rPr>
        <w:t>严密完善的会计科目体系，为财务部门的内部分工提供了方便，便于准确划分核算组并正确确定各组的工作任务，科学合理的组织会计工作，规范会计行为，使会计工作有序进行。</w:t>
      </w:r>
    </w:p>
    <w:p w:rsidR="004B34AC" w:rsidRDefault="004B34AC" w:rsidP="004B34AC">
      <w:pPr>
        <w:spacing w:line="360" w:lineRule="auto"/>
        <w:rPr>
          <w:rFonts w:ascii="宋体" w:hAnsi="宋体"/>
          <w:b/>
        </w:rPr>
      </w:pPr>
      <w:r>
        <w:rPr>
          <w:rFonts w:ascii="宋体" w:hAnsi="宋体"/>
          <w:b/>
        </w:rPr>
        <w:t>三</w:t>
      </w:r>
      <w:r>
        <w:rPr>
          <w:rFonts w:ascii="宋体" w:hAnsi="宋体"/>
          <w:b/>
          <w:bCs/>
          <w:color w:val="000000"/>
        </w:rPr>
        <w:t>．</w:t>
      </w:r>
      <w:r>
        <w:rPr>
          <w:rFonts w:ascii="宋体" w:hAnsi="宋体"/>
          <w:b/>
        </w:rPr>
        <w:t>实务设计题</w:t>
      </w:r>
    </w:p>
    <w:p w:rsidR="004B34AC" w:rsidRDefault="004B34AC" w:rsidP="004B34AC">
      <w:pPr>
        <w:spacing w:line="360" w:lineRule="auto"/>
        <w:rPr>
          <w:rFonts w:ascii="宋体" w:hAnsi="宋体"/>
          <w:color w:val="FF0000"/>
          <w:szCs w:val="21"/>
        </w:rPr>
      </w:pPr>
      <w:r>
        <w:rPr>
          <w:rFonts w:ascii="宋体" w:hAnsi="宋体" w:hint="eastAsia"/>
          <w:color w:val="FF0000"/>
          <w:szCs w:val="21"/>
        </w:rPr>
        <w:t>针对工业企业，具体设计成本项目如下：</w:t>
      </w:r>
    </w:p>
    <w:p w:rsidR="00BD0733" w:rsidRDefault="004B34AC" w:rsidP="004B34AC">
      <w:pPr>
        <w:spacing w:line="360" w:lineRule="auto"/>
        <w:ind w:firstLine="420"/>
        <w:rPr>
          <w:rFonts w:ascii="宋体" w:hAnsi="宋体" w:hint="eastAsia"/>
          <w:color w:val="FF0000"/>
          <w:szCs w:val="21"/>
        </w:rPr>
      </w:pPr>
      <w:r>
        <w:rPr>
          <w:rFonts w:ascii="宋体" w:hAnsi="宋体" w:hint="eastAsia"/>
          <w:color w:val="FF0000"/>
          <w:szCs w:val="21"/>
        </w:rPr>
        <w:t>（</w:t>
      </w:r>
      <w:r>
        <w:rPr>
          <w:rFonts w:ascii="宋体" w:hAnsi="宋体"/>
          <w:color w:val="FF0000"/>
          <w:szCs w:val="21"/>
        </w:rPr>
        <w:t>1</w:t>
      </w:r>
      <w:r>
        <w:rPr>
          <w:rFonts w:ascii="宋体" w:hAnsi="宋体" w:hint="eastAsia"/>
          <w:color w:val="FF0000"/>
          <w:szCs w:val="21"/>
        </w:rPr>
        <w:t>）关于劳动对象的耗费，包括外购材料、外购燃料和外购动力。根据是否构成产品主要实体，可将劳动对象的耗费设计为“原料及主要材料”、“辅助材料”两个成本项目。其中“辅助材料”包括一般性辅助材料、燃料和动力。</w:t>
      </w:r>
    </w:p>
    <w:p w:rsidR="004B34AC" w:rsidRDefault="004B34AC" w:rsidP="004B34AC">
      <w:pPr>
        <w:spacing w:line="360" w:lineRule="auto"/>
        <w:ind w:firstLine="420"/>
        <w:rPr>
          <w:rFonts w:ascii="宋体" w:hAnsi="宋体"/>
          <w:color w:val="FF0000"/>
          <w:szCs w:val="21"/>
        </w:rPr>
      </w:pPr>
      <w:r>
        <w:rPr>
          <w:rFonts w:ascii="宋体" w:hAnsi="宋体" w:hint="eastAsia"/>
          <w:color w:val="FF0000"/>
          <w:szCs w:val="21"/>
        </w:rPr>
        <w:lastRenderedPageBreak/>
        <w:t>关于活劳动的耗费，包括工资和福利费，按其不同用途可以作为两个成本项目，但为简化核算，也可合并为一个“工资及福利费”项目。</w:t>
      </w:r>
    </w:p>
    <w:p w:rsidR="004B34AC" w:rsidRDefault="004B34AC" w:rsidP="004B34AC">
      <w:pPr>
        <w:spacing w:line="360" w:lineRule="auto"/>
        <w:ind w:firstLine="420"/>
        <w:rPr>
          <w:rFonts w:ascii="宋体" w:hAnsi="宋体"/>
          <w:color w:val="FF0000"/>
          <w:szCs w:val="21"/>
        </w:rPr>
      </w:pPr>
      <w:r>
        <w:rPr>
          <w:rFonts w:ascii="宋体" w:hAnsi="宋体" w:hint="eastAsia"/>
          <w:color w:val="FF0000"/>
          <w:szCs w:val="21"/>
        </w:rPr>
        <w:t>关于劳动资料的耗费，包括固定资产折旧费和修理费。这两种费用一般情况下属于间接费用，一般不单独设置成本项目，而合并在“制造费用”项目中。</w:t>
      </w:r>
    </w:p>
    <w:p w:rsidR="004B34AC" w:rsidRDefault="004B34AC" w:rsidP="004B34AC">
      <w:pPr>
        <w:spacing w:line="360" w:lineRule="auto"/>
        <w:ind w:firstLine="420"/>
        <w:rPr>
          <w:rFonts w:ascii="宋体" w:hAnsi="宋体"/>
          <w:color w:val="FF0000"/>
          <w:szCs w:val="21"/>
        </w:rPr>
      </w:pPr>
      <w:r>
        <w:rPr>
          <w:rFonts w:ascii="宋体" w:hAnsi="宋体" w:hint="eastAsia"/>
          <w:color w:val="FF0000"/>
          <w:szCs w:val="21"/>
        </w:rPr>
        <w:t>关于其他费用，由于大都属于共同性费用，不易分清各种产品的承担数额，且占产品成本的比重不大，可合并设置“制造费用”项目。如果其他费用中的某些费用占成本比重较大，或管理上需要专门列示，则可单独设计相应的成本项目，如“停工损失”、“废品损失”等。</w:t>
      </w:r>
    </w:p>
    <w:p w:rsidR="004B34AC" w:rsidRDefault="004B34AC" w:rsidP="004B34AC">
      <w:pPr>
        <w:spacing w:line="360" w:lineRule="auto"/>
        <w:ind w:firstLine="420"/>
        <w:rPr>
          <w:rFonts w:ascii="宋体" w:hAnsi="宋体"/>
          <w:color w:val="FF0000"/>
          <w:szCs w:val="21"/>
        </w:rPr>
      </w:pPr>
      <w:r>
        <w:rPr>
          <w:rFonts w:ascii="宋体" w:hAnsi="宋体" w:hint="eastAsia"/>
          <w:color w:val="FF0000"/>
          <w:szCs w:val="21"/>
        </w:rPr>
        <w:t>需要指出，生产费用要素中的其他费用，有些发生在全厂范围内，为厂部组织和管理生产服务。这些费用在制造成本法下不计入产品成本，而作为期间费用直接进入当期损益，因此不需要设计成本项目；有些发生在车间范围内，为车间组织和管理生产服务，这些费用应计入产品成本，故应设计“制造费用”项目。</w:t>
      </w:r>
    </w:p>
    <w:p w:rsidR="004B34AC" w:rsidRDefault="004B34AC" w:rsidP="004B34AC">
      <w:pPr>
        <w:spacing w:line="360" w:lineRule="auto"/>
        <w:ind w:firstLine="420"/>
        <w:rPr>
          <w:rFonts w:ascii="宋体" w:hAnsi="宋体" w:hint="eastAsia"/>
          <w:color w:val="FF0000"/>
          <w:szCs w:val="21"/>
        </w:rPr>
      </w:pPr>
      <w:r>
        <w:rPr>
          <w:rFonts w:ascii="宋体" w:hAnsi="宋体" w:hint="eastAsia"/>
          <w:color w:val="FF0000"/>
          <w:szCs w:val="21"/>
        </w:rPr>
        <w:t>各企业在设计成本费用时，可根据自己的生产特点和管理需求，在上述项目的基础上增加合并或取消某些项目，如果企业消耗的燃料和动力比重较大，可将“燃料及动力”项目一分为二，设置“燃料”、“动力”两个成本项目。</w:t>
      </w:r>
    </w:p>
    <w:p w:rsidR="004B34AC" w:rsidRDefault="004B34AC" w:rsidP="00206C79">
      <w:pPr>
        <w:spacing w:line="360" w:lineRule="auto"/>
        <w:rPr>
          <w:rFonts w:ascii="宋体" w:hAnsi="宋体"/>
          <w:color w:val="FF0000"/>
          <w:szCs w:val="21"/>
        </w:rPr>
      </w:pPr>
      <w:r>
        <w:rPr>
          <w:rFonts w:ascii="宋体" w:hAnsi="宋体" w:hint="eastAsia"/>
          <w:color w:val="FF0000"/>
          <w:szCs w:val="21"/>
        </w:rPr>
        <w:t>（</w:t>
      </w:r>
      <w:r>
        <w:rPr>
          <w:rFonts w:ascii="宋体" w:hAnsi="宋体"/>
          <w:color w:val="FF0000"/>
          <w:szCs w:val="21"/>
        </w:rPr>
        <w:t>2</w:t>
      </w:r>
      <w:r>
        <w:rPr>
          <w:rFonts w:ascii="宋体" w:hAnsi="宋体" w:hint="eastAsia"/>
          <w:color w:val="FF0000"/>
          <w:szCs w:val="21"/>
        </w:rPr>
        <w:t>）设计成本项目应注意的问题：</w:t>
      </w:r>
    </w:p>
    <w:p w:rsidR="004B34AC" w:rsidRDefault="004B34AC" w:rsidP="004B34AC">
      <w:pPr>
        <w:spacing w:line="360" w:lineRule="auto"/>
        <w:ind w:firstLine="420"/>
        <w:rPr>
          <w:rFonts w:ascii="宋体" w:hAnsi="宋体"/>
          <w:color w:val="FF0000"/>
          <w:szCs w:val="21"/>
        </w:rPr>
      </w:pPr>
      <w:r>
        <w:rPr>
          <w:rFonts w:ascii="宋体" w:hAnsi="宋体" w:hint="eastAsia"/>
          <w:color w:val="FF0000"/>
          <w:szCs w:val="21"/>
        </w:rPr>
        <w:t>①费用在管理上有无单独反映、控制和考核的需要</w:t>
      </w:r>
    </w:p>
    <w:p w:rsidR="004B34AC" w:rsidRDefault="004B34AC" w:rsidP="004B34AC">
      <w:pPr>
        <w:spacing w:line="360" w:lineRule="auto"/>
        <w:ind w:firstLine="420"/>
        <w:rPr>
          <w:rFonts w:ascii="宋体" w:hAnsi="宋体"/>
          <w:color w:val="FF0000"/>
          <w:szCs w:val="21"/>
        </w:rPr>
      </w:pPr>
      <w:r>
        <w:rPr>
          <w:rFonts w:ascii="宋体" w:hAnsi="宋体" w:hint="eastAsia"/>
          <w:color w:val="FF0000"/>
          <w:szCs w:val="21"/>
        </w:rPr>
        <w:t>②费用在产品成本中比重的大小</w:t>
      </w:r>
    </w:p>
    <w:p w:rsidR="004851FF" w:rsidRPr="004B34AC" w:rsidRDefault="004B34AC" w:rsidP="004B34AC">
      <w:pPr>
        <w:spacing w:line="360" w:lineRule="auto"/>
        <w:ind w:firstLine="420"/>
        <w:rPr>
          <w:rFonts w:ascii="宋体" w:hAnsi="宋体"/>
          <w:color w:val="FF0000"/>
          <w:szCs w:val="21"/>
        </w:rPr>
      </w:pPr>
      <w:r>
        <w:rPr>
          <w:rFonts w:ascii="宋体" w:hAnsi="宋体" w:hint="eastAsia"/>
          <w:color w:val="FF0000"/>
          <w:szCs w:val="21"/>
        </w:rPr>
        <w:t>③为某种费用专设成本项目所增加的核算工作量的大小</w:t>
      </w:r>
    </w:p>
    <w:sectPr w:rsidR="004851FF" w:rsidRPr="004B34AC"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672F" w:rsidRDefault="008C672F" w:rsidP="004851FF">
      <w:pPr>
        <w:spacing w:after="0"/>
      </w:pPr>
      <w:r>
        <w:separator/>
      </w:r>
    </w:p>
  </w:endnote>
  <w:endnote w:type="continuationSeparator" w:id="0">
    <w:p w:rsidR="008C672F" w:rsidRDefault="008C672F" w:rsidP="004851F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672F" w:rsidRDefault="008C672F" w:rsidP="004851FF">
      <w:pPr>
        <w:spacing w:after="0"/>
      </w:pPr>
      <w:r>
        <w:separator/>
      </w:r>
    </w:p>
  </w:footnote>
  <w:footnote w:type="continuationSeparator" w:id="0">
    <w:p w:rsidR="008C672F" w:rsidRDefault="008C672F" w:rsidP="004851FF">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206C79"/>
    <w:rsid w:val="00323B43"/>
    <w:rsid w:val="003D37D8"/>
    <w:rsid w:val="00426133"/>
    <w:rsid w:val="004358AB"/>
    <w:rsid w:val="004851FF"/>
    <w:rsid w:val="004B34AC"/>
    <w:rsid w:val="008B7726"/>
    <w:rsid w:val="008C672F"/>
    <w:rsid w:val="00BD0733"/>
    <w:rsid w:val="00D31D50"/>
    <w:rsid w:val="00D44F6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851FF"/>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4851FF"/>
    <w:rPr>
      <w:rFonts w:ascii="Tahoma" w:hAnsi="Tahoma"/>
      <w:sz w:val="18"/>
      <w:szCs w:val="18"/>
    </w:rPr>
  </w:style>
  <w:style w:type="paragraph" w:styleId="a4">
    <w:name w:val="footer"/>
    <w:basedOn w:val="a"/>
    <w:link w:val="Char0"/>
    <w:uiPriority w:val="99"/>
    <w:semiHidden/>
    <w:unhideWhenUsed/>
    <w:rsid w:val="004851FF"/>
    <w:pPr>
      <w:tabs>
        <w:tab w:val="center" w:pos="4153"/>
        <w:tab w:val="right" w:pos="8306"/>
      </w:tabs>
    </w:pPr>
    <w:rPr>
      <w:sz w:val="18"/>
      <w:szCs w:val="18"/>
    </w:rPr>
  </w:style>
  <w:style w:type="character" w:customStyle="1" w:styleId="Char0">
    <w:name w:val="页脚 Char"/>
    <w:basedOn w:val="a0"/>
    <w:link w:val="a4"/>
    <w:uiPriority w:val="99"/>
    <w:semiHidden/>
    <w:rsid w:val="004851FF"/>
    <w:rPr>
      <w:rFonts w:ascii="Tahoma" w:hAnsi="Tahoma"/>
      <w:sz w:val="18"/>
      <w:szCs w:val="18"/>
    </w:rPr>
  </w:style>
  <w:style w:type="paragraph" w:styleId="a5">
    <w:name w:val="List Paragraph"/>
    <w:basedOn w:val="a"/>
    <w:uiPriority w:val="34"/>
    <w:qFormat/>
    <w:rsid w:val="00BD0733"/>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230</Words>
  <Characters>1313</Characters>
  <Application>Microsoft Office Word</Application>
  <DocSecurity>0</DocSecurity>
  <Lines>10</Lines>
  <Paragraphs>3</Paragraphs>
  <ScaleCrop>false</ScaleCrop>
  <Company/>
  <LinksUpToDate>false</LinksUpToDate>
  <CharactersWithSpaces>1540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5</cp:revision>
  <dcterms:created xsi:type="dcterms:W3CDTF">2008-09-11T17:20:00Z</dcterms:created>
  <dcterms:modified xsi:type="dcterms:W3CDTF">2015-03-07T04:29:00Z</dcterms:modified>
</cp:coreProperties>
</file>