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2E3" w:rsidRDefault="004731C5">
      <w:pPr>
        <w:rPr>
          <w:rFonts w:ascii="宋体" w:hAnsi="宋体" w:hint="eastAsia"/>
          <w:b/>
          <w:bCs/>
          <w:sz w:val="32"/>
          <w:szCs w:val="32"/>
        </w:rPr>
      </w:pPr>
      <w:r>
        <w:rPr>
          <w:rFonts w:ascii="宋体" w:hAnsi="宋体" w:hint="eastAsia"/>
          <w:b/>
          <w:bCs/>
          <w:sz w:val="32"/>
          <w:szCs w:val="32"/>
        </w:rPr>
        <w:t>国际税收</w:t>
      </w:r>
      <w:r>
        <w:rPr>
          <w:rFonts w:ascii="宋体" w:hAnsi="宋体" w:hint="eastAsia"/>
          <w:b/>
          <w:bCs/>
          <w:sz w:val="32"/>
          <w:szCs w:val="32"/>
        </w:rPr>
        <w:t>（71分）</w:t>
      </w:r>
      <w:bookmarkStart w:id="0" w:name="_GoBack"/>
      <w:bookmarkEnd w:id="0"/>
    </w:p>
    <w:p w:rsidR="004731C5" w:rsidRDefault="004731C5" w:rsidP="004731C5">
      <w:pPr>
        <w:spacing w:line="360" w:lineRule="auto"/>
        <w:jc w:val="left"/>
        <w:rPr>
          <w:szCs w:val="21"/>
        </w:rPr>
      </w:pPr>
      <w:proofErr w:type="gramStart"/>
      <w:r>
        <w:rPr>
          <w:rFonts w:hAnsi="宋体"/>
          <w:b/>
          <w:szCs w:val="21"/>
        </w:rPr>
        <w:t>一</w:t>
      </w:r>
      <w:proofErr w:type="gramEnd"/>
      <w:r>
        <w:rPr>
          <w:rFonts w:hAnsi="宋体"/>
          <w:b/>
          <w:szCs w:val="21"/>
        </w:rPr>
        <w:t>．单项选择题</w:t>
      </w:r>
    </w:p>
    <w:p w:rsidR="004731C5" w:rsidRDefault="004731C5">
      <w:pPr>
        <w:rPr>
          <w:rFonts w:hint="eastAsia"/>
        </w:rPr>
      </w:pPr>
      <w:r>
        <w:rPr>
          <w:rFonts w:hint="eastAsia"/>
        </w:rPr>
        <w:t>1 C  2 C  3 D  4 D  5 D  6 D  7 C  8 B  9 D  10 C</w:t>
      </w:r>
    </w:p>
    <w:p w:rsidR="004731C5" w:rsidRDefault="004731C5" w:rsidP="004731C5">
      <w:pPr>
        <w:spacing w:line="360" w:lineRule="auto"/>
        <w:jc w:val="left"/>
        <w:rPr>
          <w:b/>
          <w:szCs w:val="21"/>
        </w:rPr>
      </w:pPr>
      <w:r>
        <w:rPr>
          <w:rFonts w:hAnsi="宋体"/>
          <w:b/>
          <w:szCs w:val="21"/>
        </w:rPr>
        <w:t>二</w:t>
      </w:r>
      <w:r>
        <w:rPr>
          <w:rFonts w:hAnsi="宋体"/>
          <w:b/>
          <w:color w:val="000000"/>
          <w:szCs w:val="21"/>
        </w:rPr>
        <w:t>．</w:t>
      </w:r>
      <w:r>
        <w:rPr>
          <w:rFonts w:hAnsi="宋体"/>
          <w:b/>
          <w:szCs w:val="21"/>
        </w:rPr>
        <w:t>多项选择题</w:t>
      </w:r>
    </w:p>
    <w:p w:rsidR="004731C5" w:rsidRDefault="004731C5">
      <w:pPr>
        <w:rPr>
          <w:rFonts w:hint="eastAsia"/>
        </w:rPr>
      </w:pPr>
      <w:r>
        <w:rPr>
          <w:rFonts w:hint="eastAsia"/>
        </w:rPr>
        <w:t xml:space="preserve">1 ABD  2 ABCD  3 AB  </w:t>
      </w:r>
    </w:p>
    <w:p w:rsidR="004731C5" w:rsidRDefault="004731C5" w:rsidP="004731C5">
      <w:pPr>
        <w:spacing w:line="360" w:lineRule="auto"/>
        <w:jc w:val="left"/>
        <w:rPr>
          <w:b/>
          <w:szCs w:val="21"/>
        </w:rPr>
      </w:pPr>
      <w:r>
        <w:rPr>
          <w:rFonts w:hAnsi="宋体"/>
          <w:b/>
          <w:szCs w:val="21"/>
        </w:rPr>
        <w:t>三．</w:t>
      </w:r>
      <w:r>
        <w:rPr>
          <w:rFonts w:hAnsi="宋体"/>
          <w:b/>
          <w:color w:val="000000"/>
          <w:szCs w:val="21"/>
        </w:rPr>
        <w:t>填空题</w:t>
      </w:r>
    </w:p>
    <w:p w:rsidR="004731C5" w:rsidRDefault="004731C5">
      <w:pPr>
        <w:rPr>
          <w:rFonts w:ascii="宋体" w:hAnsi="宋体" w:cs="Courier New" w:hint="eastAsia"/>
          <w:b/>
          <w:color w:val="FF0000"/>
          <w:szCs w:val="21"/>
          <w:u w:val="single" w:color="000000"/>
        </w:rPr>
      </w:pPr>
      <w:r>
        <w:rPr>
          <w:rFonts w:hint="eastAsia"/>
        </w:rPr>
        <w:t>1</w:t>
      </w:r>
      <w:r>
        <w:rPr>
          <w:rFonts w:hint="eastAsia"/>
        </w:rPr>
        <w:t>．</w:t>
      </w:r>
      <w:r>
        <w:rPr>
          <w:rFonts w:ascii="宋体" w:hAnsi="宋体" w:cs="Courier New"/>
          <w:b/>
          <w:color w:val="FF0000"/>
          <w:szCs w:val="21"/>
          <w:u w:val="single" w:color="000000"/>
        </w:rPr>
        <w:t>地域管辖权</w:t>
      </w:r>
    </w:p>
    <w:p w:rsidR="004731C5" w:rsidRDefault="004731C5">
      <w:pPr>
        <w:rPr>
          <w:rFonts w:ascii="宋体" w:hAnsi="宋体" w:cs="Courier New" w:hint="eastAsia"/>
          <w:b/>
          <w:color w:val="FF0000"/>
          <w:szCs w:val="21"/>
          <w:u w:val="single" w:color="000000"/>
        </w:rPr>
      </w:pPr>
      <w:r>
        <w:rPr>
          <w:rFonts w:hint="eastAsia"/>
        </w:rPr>
        <w:t>2</w:t>
      </w:r>
      <w:r>
        <w:rPr>
          <w:rFonts w:hint="eastAsia"/>
        </w:rPr>
        <w:t>．</w:t>
      </w:r>
      <w:r>
        <w:rPr>
          <w:rFonts w:ascii="宋体" w:hAnsi="宋体" w:cs="Courier New"/>
          <w:b/>
          <w:color w:val="FF0000"/>
          <w:szCs w:val="21"/>
          <w:u w:val="single" w:color="000000"/>
        </w:rPr>
        <w:t>住所标准</w:t>
      </w:r>
    </w:p>
    <w:p w:rsidR="004731C5" w:rsidRDefault="004731C5">
      <w:pPr>
        <w:rPr>
          <w:rFonts w:ascii="宋体" w:hAnsi="宋体" w:cs="Courier New" w:hint="eastAsia"/>
          <w:b/>
          <w:color w:val="FF0000"/>
          <w:szCs w:val="21"/>
          <w:u w:val="single" w:color="000000"/>
        </w:rPr>
      </w:pPr>
      <w:r>
        <w:rPr>
          <w:rFonts w:ascii="宋体" w:hAnsi="宋体" w:cs="Courier New" w:hint="eastAsia"/>
          <w:b/>
          <w:color w:val="FF0000"/>
          <w:szCs w:val="21"/>
          <w:u w:val="single" w:color="000000"/>
        </w:rPr>
        <w:t>3．</w:t>
      </w:r>
      <w:r>
        <w:rPr>
          <w:rFonts w:ascii="宋体" w:hAnsi="宋体" w:cs="Courier New"/>
          <w:b/>
          <w:color w:val="FF0000"/>
          <w:szCs w:val="21"/>
          <w:u w:val="single" w:color="000000"/>
        </w:rPr>
        <w:t>税收管辖权</w:t>
      </w:r>
    </w:p>
    <w:p w:rsidR="004731C5" w:rsidRDefault="004731C5">
      <w:pPr>
        <w:rPr>
          <w:rFonts w:ascii="宋体" w:hAnsi="宋体" w:cs="Courier New" w:hint="eastAsia"/>
          <w:b/>
          <w:color w:val="FF0000"/>
          <w:szCs w:val="21"/>
          <w:u w:val="single" w:color="000000"/>
        </w:rPr>
      </w:pPr>
      <w:r>
        <w:rPr>
          <w:rFonts w:hint="eastAsia"/>
        </w:rPr>
        <w:t>4</w:t>
      </w:r>
      <w:r>
        <w:rPr>
          <w:rFonts w:hint="eastAsia"/>
        </w:rPr>
        <w:t>．</w:t>
      </w:r>
      <w:r>
        <w:rPr>
          <w:rFonts w:ascii="宋体" w:hAnsi="宋体" w:cs="Courier New"/>
          <w:b/>
          <w:color w:val="FF0000"/>
          <w:szCs w:val="21"/>
          <w:u w:val="single" w:color="000000"/>
        </w:rPr>
        <w:t>减免法（或低税法）</w:t>
      </w:r>
    </w:p>
    <w:p w:rsidR="004731C5" w:rsidRDefault="004731C5">
      <w:pPr>
        <w:rPr>
          <w:rFonts w:ascii="宋体" w:hAnsi="宋体" w:cs="Courier New" w:hint="eastAsia"/>
          <w:b/>
          <w:color w:val="FF0000"/>
          <w:szCs w:val="21"/>
          <w:u w:val="single" w:color="000000"/>
        </w:rPr>
      </w:pPr>
      <w:r>
        <w:rPr>
          <w:rFonts w:hint="eastAsia"/>
        </w:rPr>
        <w:t>5</w:t>
      </w:r>
      <w:r>
        <w:rPr>
          <w:rFonts w:hint="eastAsia"/>
        </w:rPr>
        <w:t>．</w:t>
      </w:r>
      <w:r>
        <w:rPr>
          <w:rFonts w:ascii="宋体" w:hAnsi="宋体" w:cs="Courier New"/>
          <w:b/>
          <w:color w:val="FF0000"/>
          <w:szCs w:val="21"/>
          <w:u w:val="single" w:color="000000"/>
        </w:rPr>
        <w:t>所得税和财产税</w:t>
      </w:r>
    </w:p>
    <w:p w:rsidR="004731C5" w:rsidRDefault="004731C5">
      <w:pPr>
        <w:rPr>
          <w:rFonts w:hAnsi="宋体" w:hint="eastAsia"/>
          <w:b/>
          <w:color w:val="FF0000"/>
          <w:u w:val="single" w:color="000000"/>
        </w:rPr>
      </w:pPr>
      <w:r>
        <w:rPr>
          <w:rFonts w:hint="eastAsia"/>
        </w:rPr>
        <w:t>6</w:t>
      </w:r>
      <w:r>
        <w:rPr>
          <w:rFonts w:hint="eastAsia"/>
        </w:rPr>
        <w:t>．</w:t>
      </w:r>
      <w:r>
        <w:rPr>
          <w:rFonts w:hAnsi="宋体"/>
          <w:b/>
          <w:color w:val="FF0000"/>
          <w:u w:val="single" w:color="000000"/>
        </w:rPr>
        <w:t>推迟课税（或延迟课税）</w:t>
      </w:r>
    </w:p>
    <w:p w:rsidR="004731C5" w:rsidRDefault="004731C5" w:rsidP="004731C5">
      <w:pPr>
        <w:spacing w:line="360" w:lineRule="auto"/>
        <w:jc w:val="left"/>
        <w:rPr>
          <w:b/>
          <w:szCs w:val="21"/>
        </w:rPr>
      </w:pPr>
      <w:r>
        <w:rPr>
          <w:rFonts w:hAnsi="宋体"/>
          <w:b/>
          <w:szCs w:val="21"/>
        </w:rPr>
        <w:t>四．名词解释</w:t>
      </w:r>
    </w:p>
    <w:p w:rsidR="004731C5" w:rsidRDefault="004731C5" w:rsidP="004731C5">
      <w:pPr>
        <w:pStyle w:val="a5"/>
        <w:spacing w:line="360" w:lineRule="auto"/>
        <w:ind w:firstLineChars="0" w:firstLine="0"/>
        <w:rPr>
          <w:rFonts w:ascii="Times New Roman" w:hAnsi="Times New Roman"/>
          <w:szCs w:val="21"/>
        </w:rPr>
      </w:pPr>
      <w:r>
        <w:rPr>
          <w:rFonts w:ascii="Times New Roman" w:hAnsi="Times New Roman"/>
          <w:szCs w:val="21"/>
        </w:rPr>
        <w:t>1</w:t>
      </w:r>
      <w:r>
        <w:rPr>
          <w:rFonts w:ascii="Times New Roman" w:hAnsi="宋体"/>
          <w:szCs w:val="21"/>
        </w:rPr>
        <w:t>．国际税收</w:t>
      </w:r>
    </w:p>
    <w:p w:rsidR="004731C5" w:rsidRDefault="004731C5" w:rsidP="004731C5">
      <w:pPr>
        <w:pStyle w:val="a5"/>
        <w:spacing w:line="360" w:lineRule="auto"/>
        <w:ind w:firstLine="422"/>
        <w:rPr>
          <w:rFonts w:ascii="Times New Roman" w:hAnsi="Times New Roman" w:hint="eastAsia"/>
          <w:color w:val="FF0000"/>
          <w:szCs w:val="21"/>
        </w:rPr>
      </w:pPr>
      <w:r>
        <w:rPr>
          <w:rFonts w:ascii="Times New Roman" w:hAnsi="Times New Roman"/>
          <w:b/>
          <w:color w:val="FF0000"/>
          <w:szCs w:val="21"/>
        </w:rPr>
        <w:t>国际税收的概念目前有两种含义：一是在开放的经济条件下因纳税人的经济活动扩大到境外以及国与国之间税收法规存在差异或相互冲突而带来的一些税收问题和税收现象；二是从某一国家的角度看，国际税收是一国对纳税人的跨境所得和交易活动课税的法律、法规的总称。</w:t>
      </w:r>
    </w:p>
    <w:p w:rsidR="004731C5" w:rsidRDefault="004731C5" w:rsidP="004731C5">
      <w:pPr>
        <w:pStyle w:val="a5"/>
        <w:spacing w:line="360" w:lineRule="auto"/>
        <w:ind w:firstLineChars="0" w:firstLine="0"/>
        <w:rPr>
          <w:rFonts w:ascii="Times New Roman" w:hAnsi="Times New Roman"/>
          <w:szCs w:val="21"/>
        </w:rPr>
      </w:pPr>
      <w:r>
        <w:rPr>
          <w:rFonts w:ascii="Times New Roman" w:hAnsi="Times New Roman"/>
          <w:szCs w:val="21"/>
        </w:rPr>
        <w:t>2</w:t>
      </w:r>
      <w:r>
        <w:rPr>
          <w:rFonts w:ascii="Times New Roman" w:hAnsi="宋体"/>
          <w:szCs w:val="21"/>
        </w:rPr>
        <w:t>．常设机构</w:t>
      </w:r>
    </w:p>
    <w:p w:rsidR="004731C5" w:rsidRDefault="004731C5" w:rsidP="004731C5">
      <w:pPr>
        <w:pStyle w:val="a5"/>
        <w:spacing w:line="360" w:lineRule="auto"/>
        <w:ind w:firstLine="422"/>
        <w:rPr>
          <w:rFonts w:ascii="Times New Roman" w:hAnsi="Times New Roman" w:hint="eastAsia"/>
          <w:b/>
          <w:color w:val="FF0000"/>
          <w:szCs w:val="21"/>
        </w:rPr>
      </w:pPr>
      <w:r>
        <w:rPr>
          <w:rFonts w:ascii="Times New Roman" w:hAnsi="Times New Roman"/>
          <w:b/>
          <w:color w:val="FF0000"/>
          <w:szCs w:val="21"/>
        </w:rPr>
        <w:t>常设机构是指一个企业进行全部或部分经营活动的固定营业场所。它的范围通常包括分支机构、管理机构、办事处、工厂、车间、作业场所、建筑工地等。</w:t>
      </w:r>
    </w:p>
    <w:p w:rsidR="004731C5" w:rsidRDefault="004731C5" w:rsidP="004731C5">
      <w:pPr>
        <w:spacing w:line="360" w:lineRule="auto"/>
        <w:jc w:val="left"/>
        <w:rPr>
          <w:szCs w:val="21"/>
        </w:rPr>
      </w:pPr>
      <w:r>
        <w:rPr>
          <w:rFonts w:hAnsi="宋体"/>
          <w:b/>
          <w:szCs w:val="21"/>
        </w:rPr>
        <w:t>五．简答题</w:t>
      </w:r>
    </w:p>
    <w:p w:rsidR="004731C5" w:rsidRDefault="004731C5" w:rsidP="004731C5">
      <w:pPr>
        <w:spacing w:line="360" w:lineRule="auto"/>
        <w:rPr>
          <w:szCs w:val="21"/>
        </w:rPr>
      </w:pPr>
      <w:r>
        <w:rPr>
          <w:rFonts w:hint="eastAsia"/>
          <w:szCs w:val="21"/>
        </w:rPr>
        <w:t>3</w:t>
      </w:r>
      <w:r>
        <w:rPr>
          <w:rFonts w:hAnsi="宋体"/>
          <w:szCs w:val="21"/>
        </w:rPr>
        <w:t>．简述国际重复征税产生的原因。</w:t>
      </w:r>
    </w:p>
    <w:p w:rsidR="004731C5" w:rsidRDefault="004731C5" w:rsidP="004731C5">
      <w:pPr>
        <w:spacing w:line="360" w:lineRule="auto"/>
        <w:ind w:firstLineChars="200" w:firstLine="422"/>
        <w:rPr>
          <w:rFonts w:hint="eastAsia"/>
          <w:b/>
          <w:color w:val="FF0000"/>
          <w:szCs w:val="21"/>
        </w:rPr>
      </w:pPr>
      <w:r>
        <w:rPr>
          <w:b/>
          <w:color w:val="FF0000"/>
          <w:szCs w:val="21"/>
        </w:rPr>
        <w:t>答：所得国际重复征税是由不同国家的税收管辖权同时叠加在同一笔所得之上引起的。这种国与国之间税收管辖权的交叉重叠可以分为两种情况，即相同的税收管辖</w:t>
      </w:r>
      <w:proofErr w:type="gramStart"/>
      <w:r>
        <w:rPr>
          <w:b/>
          <w:color w:val="FF0000"/>
          <w:szCs w:val="21"/>
        </w:rPr>
        <w:t>权相互</w:t>
      </w:r>
      <w:proofErr w:type="gramEnd"/>
      <w:r>
        <w:rPr>
          <w:b/>
          <w:color w:val="FF0000"/>
          <w:szCs w:val="21"/>
        </w:rPr>
        <w:t>重叠和不同的税收管辖</w:t>
      </w:r>
      <w:proofErr w:type="gramStart"/>
      <w:r>
        <w:rPr>
          <w:b/>
          <w:color w:val="FF0000"/>
          <w:szCs w:val="21"/>
        </w:rPr>
        <w:t>权相互</w:t>
      </w:r>
      <w:proofErr w:type="gramEnd"/>
      <w:r>
        <w:rPr>
          <w:b/>
          <w:color w:val="FF0000"/>
          <w:szCs w:val="21"/>
        </w:rPr>
        <w:t>重叠。</w:t>
      </w:r>
    </w:p>
    <w:p w:rsidR="004731C5" w:rsidRDefault="004731C5" w:rsidP="004731C5">
      <w:pPr>
        <w:spacing w:line="360" w:lineRule="auto"/>
        <w:ind w:firstLineChars="200" w:firstLine="422"/>
        <w:rPr>
          <w:rFonts w:hint="eastAsia"/>
          <w:b/>
          <w:color w:val="FF0000"/>
          <w:szCs w:val="21"/>
        </w:rPr>
      </w:pPr>
      <w:r>
        <w:rPr>
          <w:b/>
          <w:color w:val="FF0000"/>
          <w:szCs w:val="21"/>
        </w:rPr>
        <w:t>（</w:t>
      </w:r>
      <w:r>
        <w:rPr>
          <w:b/>
          <w:color w:val="FF0000"/>
          <w:szCs w:val="21"/>
        </w:rPr>
        <w:t>1</w:t>
      </w:r>
      <w:r>
        <w:rPr>
          <w:b/>
          <w:color w:val="FF0000"/>
          <w:szCs w:val="21"/>
        </w:rPr>
        <w:t>）两国同种税收管辖权交叉重叠。国与国之间同种税收管辖权的相互重叠主要是由有关国家判定所得来源地或居民身份的标准相互冲突造成的。一旦同一笔所得被两个国家同时判定为来自本国，或者同一纳税人被两个国家同时判定为本国居民，那么两个国家的地域管辖权与地域管辖权或者居民管辖权与居民管辖权就会发生交叉重叠。</w:t>
      </w:r>
    </w:p>
    <w:p w:rsidR="004731C5" w:rsidRDefault="004731C5" w:rsidP="004731C5">
      <w:pPr>
        <w:spacing w:line="360" w:lineRule="auto"/>
        <w:ind w:firstLineChars="200" w:firstLine="422"/>
        <w:rPr>
          <w:rFonts w:hint="eastAsia"/>
          <w:b/>
          <w:color w:val="FF0000"/>
          <w:szCs w:val="21"/>
        </w:rPr>
      </w:pPr>
      <w:r>
        <w:rPr>
          <w:b/>
          <w:color w:val="FF0000"/>
          <w:szCs w:val="21"/>
        </w:rPr>
        <w:t>（</w:t>
      </w:r>
      <w:r>
        <w:rPr>
          <w:b/>
          <w:color w:val="FF0000"/>
          <w:szCs w:val="21"/>
        </w:rPr>
        <w:t>2</w:t>
      </w:r>
      <w:r>
        <w:rPr>
          <w:b/>
          <w:color w:val="FF0000"/>
          <w:szCs w:val="21"/>
        </w:rPr>
        <w:t>）两国不同种税收管辖权交叉重叠。国与国之间不同种类的税收管辖</w:t>
      </w:r>
      <w:proofErr w:type="gramStart"/>
      <w:r>
        <w:rPr>
          <w:b/>
          <w:color w:val="FF0000"/>
          <w:szCs w:val="21"/>
        </w:rPr>
        <w:t>权相互</w:t>
      </w:r>
      <w:proofErr w:type="gramEnd"/>
      <w:r>
        <w:rPr>
          <w:b/>
          <w:color w:val="FF0000"/>
          <w:szCs w:val="21"/>
        </w:rPr>
        <w:t>重叠具体有三种情况：</w:t>
      </w:r>
      <w:r>
        <w:rPr>
          <w:b/>
          <w:color w:val="FF0000"/>
          <w:szCs w:val="21"/>
        </w:rPr>
        <w:t>1</w:t>
      </w:r>
      <w:r>
        <w:rPr>
          <w:b/>
          <w:color w:val="FF0000"/>
          <w:szCs w:val="21"/>
        </w:rPr>
        <w:t>）居民管辖权与地域管辖权的重叠；</w:t>
      </w:r>
      <w:r>
        <w:rPr>
          <w:b/>
          <w:color w:val="FF0000"/>
          <w:szCs w:val="21"/>
        </w:rPr>
        <w:t>2</w:t>
      </w:r>
      <w:r>
        <w:rPr>
          <w:b/>
          <w:color w:val="FF0000"/>
          <w:szCs w:val="21"/>
        </w:rPr>
        <w:t>）公民管辖权与地域管辖权的重叠；</w:t>
      </w:r>
      <w:r>
        <w:rPr>
          <w:b/>
          <w:color w:val="FF0000"/>
          <w:szCs w:val="21"/>
        </w:rPr>
        <w:lastRenderedPageBreak/>
        <w:t>3</w:t>
      </w:r>
      <w:r>
        <w:rPr>
          <w:b/>
          <w:color w:val="FF0000"/>
          <w:szCs w:val="21"/>
        </w:rPr>
        <w:t>）公民管辖权与居民管辖权的重叠。由于世界上大多数国家都同时实行地域管辖权和居民管辖权，因此这两种税收管辖权的交叉重叠最为普遍。</w:t>
      </w:r>
    </w:p>
    <w:p w:rsidR="004731C5" w:rsidRDefault="004731C5" w:rsidP="004731C5">
      <w:pPr>
        <w:spacing w:line="360" w:lineRule="auto"/>
        <w:jc w:val="left"/>
        <w:rPr>
          <w:szCs w:val="21"/>
        </w:rPr>
      </w:pPr>
      <w:r>
        <w:rPr>
          <w:rFonts w:hint="eastAsia"/>
          <w:szCs w:val="21"/>
        </w:rPr>
        <w:t>4</w:t>
      </w:r>
      <w:r>
        <w:rPr>
          <w:rFonts w:hAnsi="宋体"/>
          <w:szCs w:val="21"/>
        </w:rPr>
        <w:t>．简述跨国公司利用国际避税地避税的主要形式。</w:t>
      </w:r>
    </w:p>
    <w:p w:rsidR="004731C5" w:rsidRDefault="004731C5" w:rsidP="004731C5">
      <w:pPr>
        <w:spacing w:line="360" w:lineRule="auto"/>
        <w:ind w:firstLineChars="200" w:firstLine="422"/>
        <w:jc w:val="left"/>
        <w:rPr>
          <w:rFonts w:hint="eastAsia"/>
          <w:b/>
          <w:color w:val="FF0000"/>
          <w:szCs w:val="21"/>
        </w:rPr>
      </w:pPr>
      <w:r>
        <w:rPr>
          <w:b/>
          <w:color w:val="FF0000"/>
          <w:szCs w:val="21"/>
        </w:rPr>
        <w:t>答：跨国公司利用避税地进行避税的主要形式是在避税地建立</w:t>
      </w:r>
      <w:r>
        <w:rPr>
          <w:b/>
          <w:color w:val="FF0000"/>
          <w:szCs w:val="21"/>
        </w:rPr>
        <w:t>“</w:t>
      </w:r>
      <w:r>
        <w:rPr>
          <w:b/>
          <w:color w:val="FF0000"/>
          <w:szCs w:val="21"/>
        </w:rPr>
        <w:t>基地公司</w:t>
      </w:r>
      <w:r>
        <w:rPr>
          <w:b/>
          <w:color w:val="FF0000"/>
          <w:szCs w:val="21"/>
        </w:rPr>
        <w:t>”</w:t>
      </w:r>
      <w:r>
        <w:rPr>
          <w:b/>
          <w:color w:val="FF0000"/>
          <w:szCs w:val="21"/>
        </w:rPr>
        <w:t>。跨国公司与其基地公司有业务往来时，利用转让定价和本国延迟课税优惠，将利润从高税国转移并滞留在避税地。</w:t>
      </w:r>
    </w:p>
    <w:p w:rsidR="004731C5" w:rsidRDefault="004731C5" w:rsidP="004731C5">
      <w:pPr>
        <w:spacing w:line="360" w:lineRule="auto"/>
        <w:jc w:val="left"/>
        <w:rPr>
          <w:rFonts w:hint="eastAsia"/>
          <w:b/>
          <w:color w:val="FF0000"/>
          <w:szCs w:val="21"/>
        </w:rPr>
      </w:pPr>
      <w:r>
        <w:rPr>
          <w:b/>
          <w:color w:val="FF0000"/>
          <w:szCs w:val="21"/>
        </w:rPr>
        <w:t xml:space="preserve">    </w:t>
      </w:r>
      <w:r>
        <w:rPr>
          <w:b/>
          <w:color w:val="FF0000"/>
          <w:szCs w:val="21"/>
        </w:rPr>
        <w:t>基地公司可以是中介性的控股公司、金融公司、贸易公司、许可公司、内部保险公司等。</w:t>
      </w:r>
    </w:p>
    <w:p w:rsidR="004731C5" w:rsidRDefault="004731C5" w:rsidP="004731C5">
      <w:pPr>
        <w:spacing w:line="360" w:lineRule="auto"/>
        <w:rPr>
          <w:rFonts w:hint="eastAsia"/>
          <w:color w:val="000000"/>
          <w:szCs w:val="21"/>
        </w:rPr>
      </w:pPr>
      <w:r>
        <w:rPr>
          <w:rFonts w:hAnsi="宋体" w:hint="eastAsia"/>
          <w:b/>
          <w:szCs w:val="21"/>
        </w:rPr>
        <w:t>六</w:t>
      </w:r>
      <w:r>
        <w:rPr>
          <w:rFonts w:hAnsi="宋体"/>
          <w:b/>
          <w:szCs w:val="21"/>
        </w:rPr>
        <w:t>．计算题</w:t>
      </w:r>
    </w:p>
    <w:p w:rsidR="004731C5" w:rsidRDefault="004731C5" w:rsidP="004731C5">
      <w:pPr>
        <w:spacing w:line="360" w:lineRule="auto"/>
        <w:rPr>
          <w:rFonts w:hint="eastAsia"/>
          <w:b/>
          <w:color w:val="FF0000"/>
          <w:szCs w:val="21"/>
        </w:rPr>
      </w:pPr>
      <w:r>
        <w:rPr>
          <w:b/>
          <w:color w:val="FF0000"/>
          <w:szCs w:val="21"/>
        </w:rPr>
        <w:t>答：综合抵免限额</w:t>
      </w:r>
      <w:r>
        <w:rPr>
          <w:b/>
          <w:color w:val="FF0000"/>
          <w:szCs w:val="21"/>
        </w:rPr>
        <w:t>=</w:t>
      </w:r>
      <w:r>
        <w:rPr>
          <w:b/>
          <w:color w:val="FF0000"/>
          <w:szCs w:val="21"/>
        </w:rPr>
        <w:t>（</w:t>
      </w:r>
      <w:r>
        <w:rPr>
          <w:b/>
          <w:color w:val="FF0000"/>
          <w:szCs w:val="21"/>
        </w:rPr>
        <w:t>100+20+60</w:t>
      </w:r>
      <w:r>
        <w:rPr>
          <w:b/>
          <w:color w:val="FF0000"/>
          <w:szCs w:val="21"/>
        </w:rPr>
        <w:t>）</w:t>
      </w:r>
      <w:r>
        <w:rPr>
          <w:b/>
          <w:color w:val="FF0000"/>
          <w:szCs w:val="21"/>
        </w:rPr>
        <w:t>×33%=59.4</w:t>
      </w:r>
      <w:r>
        <w:rPr>
          <w:b/>
          <w:color w:val="FF0000"/>
          <w:szCs w:val="21"/>
        </w:rPr>
        <w:t>（万元）</w:t>
      </w:r>
    </w:p>
    <w:p w:rsidR="004731C5" w:rsidRDefault="004731C5" w:rsidP="004731C5">
      <w:pPr>
        <w:spacing w:line="360" w:lineRule="auto"/>
        <w:ind w:firstLine="435"/>
        <w:rPr>
          <w:rFonts w:hint="eastAsia"/>
          <w:b/>
          <w:color w:val="FF0000"/>
          <w:szCs w:val="21"/>
        </w:rPr>
      </w:pPr>
      <w:r>
        <w:rPr>
          <w:b/>
          <w:color w:val="FF0000"/>
          <w:szCs w:val="21"/>
        </w:rPr>
        <w:t>境外实缴税额</w:t>
      </w:r>
      <w:r>
        <w:rPr>
          <w:b/>
          <w:color w:val="FF0000"/>
          <w:szCs w:val="21"/>
        </w:rPr>
        <w:t>=100×30%+20×20%+60×35%=55</w:t>
      </w:r>
      <w:r>
        <w:rPr>
          <w:b/>
          <w:color w:val="FF0000"/>
          <w:szCs w:val="21"/>
        </w:rPr>
        <w:t>（万元）</w:t>
      </w:r>
    </w:p>
    <w:p w:rsidR="004731C5" w:rsidRDefault="004731C5" w:rsidP="004731C5">
      <w:pPr>
        <w:spacing w:line="360" w:lineRule="auto"/>
        <w:ind w:firstLine="435"/>
        <w:rPr>
          <w:rFonts w:hint="eastAsia"/>
          <w:b/>
          <w:color w:val="FF0000"/>
          <w:szCs w:val="21"/>
        </w:rPr>
      </w:pPr>
      <w:r>
        <w:rPr>
          <w:b/>
          <w:color w:val="FF0000"/>
          <w:szCs w:val="21"/>
        </w:rPr>
        <w:t>允许抵免额</w:t>
      </w:r>
      <w:r>
        <w:rPr>
          <w:b/>
          <w:color w:val="FF0000"/>
          <w:szCs w:val="21"/>
        </w:rPr>
        <w:t>=55</w:t>
      </w:r>
      <w:r>
        <w:rPr>
          <w:b/>
          <w:color w:val="FF0000"/>
          <w:szCs w:val="21"/>
        </w:rPr>
        <w:t>（万元）</w:t>
      </w:r>
    </w:p>
    <w:p w:rsidR="004731C5" w:rsidRDefault="004731C5" w:rsidP="004731C5">
      <w:pPr>
        <w:spacing w:line="360" w:lineRule="auto"/>
        <w:ind w:firstLineChars="196" w:firstLine="413"/>
        <w:rPr>
          <w:rFonts w:hint="eastAsia"/>
          <w:b/>
          <w:color w:val="FF0000"/>
          <w:szCs w:val="21"/>
        </w:rPr>
      </w:pPr>
      <w:r>
        <w:rPr>
          <w:b/>
          <w:color w:val="FF0000"/>
          <w:szCs w:val="21"/>
        </w:rPr>
        <w:t>总公司向甲国缴纳的税额</w:t>
      </w:r>
      <w:r>
        <w:rPr>
          <w:b/>
          <w:color w:val="FF0000"/>
          <w:szCs w:val="21"/>
        </w:rPr>
        <w:t>=</w:t>
      </w:r>
      <w:r>
        <w:rPr>
          <w:b/>
          <w:color w:val="FF0000"/>
          <w:szCs w:val="21"/>
        </w:rPr>
        <w:t>（</w:t>
      </w:r>
      <w:r>
        <w:rPr>
          <w:b/>
          <w:color w:val="FF0000"/>
          <w:szCs w:val="21"/>
        </w:rPr>
        <w:t>100+100+20+60</w:t>
      </w:r>
      <w:r>
        <w:rPr>
          <w:b/>
          <w:color w:val="FF0000"/>
          <w:szCs w:val="21"/>
        </w:rPr>
        <w:t>）</w:t>
      </w:r>
      <w:r>
        <w:rPr>
          <w:b/>
          <w:color w:val="FF0000"/>
          <w:szCs w:val="21"/>
        </w:rPr>
        <w:t>×33%</w:t>
      </w:r>
      <w:r>
        <w:rPr>
          <w:b/>
          <w:color w:val="FF0000"/>
          <w:szCs w:val="21"/>
        </w:rPr>
        <w:t>－</w:t>
      </w:r>
      <w:r>
        <w:rPr>
          <w:b/>
          <w:color w:val="FF0000"/>
          <w:szCs w:val="21"/>
        </w:rPr>
        <w:t>55=37.4</w:t>
      </w:r>
      <w:r>
        <w:rPr>
          <w:b/>
          <w:color w:val="FF0000"/>
          <w:szCs w:val="21"/>
        </w:rPr>
        <w:t>（万元）</w:t>
      </w:r>
    </w:p>
    <w:p w:rsidR="004731C5" w:rsidRPr="004731C5" w:rsidRDefault="004731C5">
      <w:pPr>
        <w:rPr>
          <w:rFonts w:hint="eastAsia"/>
        </w:rPr>
      </w:pPr>
    </w:p>
    <w:p w:rsidR="004731C5" w:rsidRDefault="004731C5"/>
    <w:sectPr w:rsidR="004731C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FCB" w:rsidRDefault="00643FCB" w:rsidP="004731C5">
      <w:r>
        <w:separator/>
      </w:r>
    </w:p>
  </w:endnote>
  <w:endnote w:type="continuationSeparator" w:id="0">
    <w:p w:rsidR="00643FCB" w:rsidRDefault="00643FCB" w:rsidP="00473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FCB" w:rsidRDefault="00643FCB" w:rsidP="004731C5">
      <w:r>
        <w:separator/>
      </w:r>
    </w:p>
  </w:footnote>
  <w:footnote w:type="continuationSeparator" w:id="0">
    <w:p w:rsidR="00643FCB" w:rsidRDefault="00643FCB" w:rsidP="004731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B87"/>
    <w:rsid w:val="000F6B87"/>
    <w:rsid w:val="002F12E3"/>
    <w:rsid w:val="004731C5"/>
    <w:rsid w:val="00643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731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731C5"/>
    <w:rPr>
      <w:sz w:val="18"/>
      <w:szCs w:val="18"/>
    </w:rPr>
  </w:style>
  <w:style w:type="paragraph" w:styleId="a4">
    <w:name w:val="footer"/>
    <w:basedOn w:val="a"/>
    <w:link w:val="Char0"/>
    <w:uiPriority w:val="99"/>
    <w:unhideWhenUsed/>
    <w:rsid w:val="004731C5"/>
    <w:pPr>
      <w:tabs>
        <w:tab w:val="center" w:pos="4153"/>
        <w:tab w:val="right" w:pos="8306"/>
      </w:tabs>
      <w:snapToGrid w:val="0"/>
      <w:jc w:val="left"/>
    </w:pPr>
    <w:rPr>
      <w:sz w:val="18"/>
      <w:szCs w:val="18"/>
    </w:rPr>
  </w:style>
  <w:style w:type="character" w:customStyle="1" w:styleId="Char0">
    <w:name w:val="页脚 Char"/>
    <w:basedOn w:val="a0"/>
    <w:link w:val="a4"/>
    <w:uiPriority w:val="99"/>
    <w:rsid w:val="004731C5"/>
    <w:rPr>
      <w:sz w:val="18"/>
      <w:szCs w:val="18"/>
    </w:rPr>
  </w:style>
  <w:style w:type="paragraph" w:styleId="a5">
    <w:name w:val="List Paragraph"/>
    <w:basedOn w:val="a"/>
    <w:qFormat/>
    <w:rsid w:val="004731C5"/>
    <w:pPr>
      <w:ind w:firstLineChars="200" w:firstLine="420"/>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731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731C5"/>
    <w:rPr>
      <w:sz w:val="18"/>
      <w:szCs w:val="18"/>
    </w:rPr>
  </w:style>
  <w:style w:type="paragraph" w:styleId="a4">
    <w:name w:val="footer"/>
    <w:basedOn w:val="a"/>
    <w:link w:val="Char0"/>
    <w:uiPriority w:val="99"/>
    <w:unhideWhenUsed/>
    <w:rsid w:val="004731C5"/>
    <w:pPr>
      <w:tabs>
        <w:tab w:val="center" w:pos="4153"/>
        <w:tab w:val="right" w:pos="8306"/>
      </w:tabs>
      <w:snapToGrid w:val="0"/>
      <w:jc w:val="left"/>
    </w:pPr>
    <w:rPr>
      <w:sz w:val="18"/>
      <w:szCs w:val="18"/>
    </w:rPr>
  </w:style>
  <w:style w:type="character" w:customStyle="1" w:styleId="Char0">
    <w:name w:val="页脚 Char"/>
    <w:basedOn w:val="a0"/>
    <w:link w:val="a4"/>
    <w:uiPriority w:val="99"/>
    <w:rsid w:val="004731C5"/>
    <w:rPr>
      <w:sz w:val="18"/>
      <w:szCs w:val="18"/>
    </w:rPr>
  </w:style>
  <w:style w:type="paragraph" w:styleId="a5">
    <w:name w:val="List Paragraph"/>
    <w:basedOn w:val="a"/>
    <w:qFormat/>
    <w:rsid w:val="004731C5"/>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160</Words>
  <Characters>912</Characters>
  <Application>Microsoft Office Word</Application>
  <DocSecurity>0</DocSecurity>
  <Lines>7</Lines>
  <Paragraphs>2</Paragraphs>
  <ScaleCrop>false</ScaleCrop>
  <Company>微软中国</Company>
  <LinksUpToDate>false</LinksUpToDate>
  <CharactersWithSpaces>1070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2015-03-07T07:57:00Z</dcterms:created>
  <dcterms:modified xsi:type="dcterms:W3CDTF">2015-03-07T08:06:00Z</dcterms:modified>
</cp:coreProperties>
</file>